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AUS.2024.13 vom 16. Februar 2024</w:t>
      </w:r>
    </w:p>
    <w:p>
      <w:r>
        <w:t>BS Appellationsgericht, 2024-02-16, DE</w:t>
      </w:r>
    </w:p>
    <w:p>
      <w:r>
        <w:rPr>
          <w:b/>
        </w:rPr>
        <w:t xml:space="preserve">Quelle: </w:t>
      </w:r>
      <w:r>
        <w:t>https://mcp.opencaselaw.ch/entscheid/bs_appellationsgericht_AUS.2024.13</w:t>
      </w:r>
    </w:p>
    <w:p>
      <w:r>
        <w:t>FR: BS_APPELLATIONSGERICHT AUS.2024.13 du 16 février 2024</w:t>
      </w:r>
    </w:p>
    <w:p>
      <w:r>
        <w:t>IT: BS_APPELLATIONSGERICHT AUS.2024.13 del 16 febbraio 2024</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(vgl. dazu BGE 142 I 135 E. 3.3; BGer 2C_457/2023 vom 15. September 2023 E. 4.3, 2C_620/2021 vom 14. September 2021 E. 3.1).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 7. März 2014 S. 2675 ff., 2702; VGE AUS.2019.75 vom 22. Oktober 2019 E. 2.1).</w:t>
      </w:r>
    </w:p>
    <w:p>
      <w:r>
        <w:rPr>
          <w:b/>
        </w:rPr>
        <w:t>E. 2.2</w:t>
      </w:r>
    </w:p>
    <w:p>
      <w:r>
        <w:t>2.2.1Wie sich aus dem EURODAC-Trefferformular ergibt, hat der im SIS mit mehreren Identitäten verzeichnete Beurteilte  nachdem er von Marokko nach Spanien und Frankreich geschleust wurde  am 5. Juni 2022 in Deutschland, wo er offenbar auch behördlich gemeldet ist, um Asyl ersucht. Gemäss eigenen Angaben hat er  behördliche Weisungen ignorierend  das Ergebnis dieses Verfahrens nicht abgewartet und ist nach Holland weitergereist, wo er gemäss EURODAC am 8. September 2022 erneut ein Asylgesuch gestellt hat. Dort ist er nur wenige Wochen geblieben und in der Folge selbständig  erneut behördliche Weisungen ignorierend  nach Deutschland gereist, wo er eigenen Angaben zufolge gegenüber der Polizei einen Fantasienamen angegeben hat. Obwohl er keinen Reisepass auf sich trug und auch kein Visum für die Einreise in die Schweiz vorweisen konnte, ist er nunmehr von Freiburg im Breisgau herkommend  ohne die notwendigen Einreisevoraussetzungen zu erfüllen  mit dem Zug in die Schweiz eingereist, wo er auch straffällig geworden ist (Verurteilung der Staatsanwaltschaft Basel-Stadt vom 15. Februar 2024 wegen mehrfachen versuchten Diebstahls und rechtswidriger Einreise zu einer bedingt vollziehbaren Freiheitsstrafe von 90 Tagen [Probezeit drei Jahre]). Gemäss seinen Angaben anlässlich der Befragung beim Migrationsamt beabsichtige er bei einer Haftentlassung nunmehr, nach Frankreich weiterzureisen.</w:t>
      </w:r>
    </w:p>
    <w:p>
      <w:r>
        <w:t>2.2.2Nach dem Gesagten ist daher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Frankreich) bzw. untertauchen würde und damit für die Behörden nicht mehr greifbar wäre, zumal er zu Protokoll gegeben hat, nicht nach Holland und vor allen nicht nach Deutschland zurückkehren zu wollen.</w:t>
      </w:r>
    </w:p>
    <w:p>
      <w:r>
        <w:t>2.3Es stellt sich im Weiteren die Frage, ob ein milderes Mittel als Haft vorhanden ist, welches ein Untertauchen des Beurteilten wirksam verhindern könnte. A____ verfügt gemäss Effektenverzeichnis nur über unwesentlich Bargeld und hat auch keinerlei Beziehungen zur Schweiz. Er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Beurteilten kaum davon abhalten. Darüber hinaus besitzt er auch keinen Reisepass, der für die Dauer des Verfahrens beim Migrationsamt hinterlegt werden könnte,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vom 15. Februar 2024 beim Migrationsamt auch zu Protokoll gegeben hat, dass es ihm gesundheitlich gut gehe. Auch ist die Anordnung der Vorbereitungshaft für die maximal mögliche Dauer von sieben Wochen (Art. 76a Abs. 3 lit. a AIG) nicht zu beanstanden, da zunächst die Zuständigkeit des Rückübernahmestaates (mutmasslich Holland oder Deutschland) zu prüfen ist und das Staatssekretariat für Migration (SEM) anschliessend die Wegweisung verfügen muss. Das Migrationsamt ist jedoch gehalten, auch im weiteren Fortgang des Verfahrens das Beschleunigungsgebot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15. Februar 2024 bis zum 3. April 2024, rechtmässig und angemessen.</w:t>
      </w:r>
    </w:p>
    <w:p>
      <w:r>
        <w:t>Es werden keine Kosten erhoben.</w:t>
      </w:r>
    </w:p>
    <w:p>
      <w:r>
        <w:t>Der Entscheid ist A____ in einer für ihn verständlichen Sprache durch das Migrationsamt zu eröffnen.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