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AUS.2022.4 vom 20. August 2021</w:t>
      </w:r>
    </w:p>
    <w:p>
      <w:r>
        <w:t>BS Appellationsgericht, 2021-08-20, DE</w:t>
      </w:r>
    </w:p>
    <w:p>
      <w:r>
        <w:rPr>
          <w:b/>
        </w:rPr>
        <w:t xml:space="preserve">Quelle: </w:t>
      </w:r>
      <w:r>
        <w:t>https://mcp.opencaselaw.ch/entscheid/bs_appellationsgericht_AUS.2022.4</w:t>
      </w:r>
    </w:p>
    <w:p>
      <w:r>
        <w:t>FR: BS_APPELLATIONSGERICHT AUS.2022.4 du 20 août 2021</w:t>
      </w:r>
    </w:p>
    <w:p>
      <w:r>
        <w:t>IT: BS_APPELLATIONSGERICHT AUS.2022.4 del 20 agosto 2021</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wurde mit Asylentscheid vom 20. August 2021 aus der Schweiz und dem Schengenraum weggewiesen. Als Ausreisefrist gilt gemäss Entscheid das Datum der Rechtskraft. In den Akten findet sich die Rechtskraftmitteilung des SEM vom 27. Oktober 2021, wonach der Asylentscheid am 22. September 2021 in Rechtskraft erwachsen sei. Da A____ an der Befragung durch das Migrationsamt am 20. Januar 2022 behauptet hat, ihm sei dieser Entscheid nicht bekannt, hat die Einzelrichterin für Zwangsmassnahmen im Ausländerrechts (Einzelrichterin) beim Migrationsamt einen Beleg der Zustellung des Asylentscheids einverlangt. Dieses hat der Einzelrichterin am 21. Januar 2022 mitgeteilt, es sei davon auszugehen, dass der Asylentscheid nicht zugestellt worden ist (s. E-Mail Schreiben des SEM vom 21. Januar 2022). Das Migrationsamt hat A____ daraufhin den Asylentscheid vom 20. August 2021 umgehend und vor Stattfinden der gerichtlichen Haftüberprüfung eröffnet. Damit fehlt es dem Wegweisungsentscheid zwar an der Rechtskraft, was einer Inhaftnahme allerdings nicht entgegensteht (s. auch unten E. 4.2).</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macht das Vorliegen von Untertauchensgefahr geltend. Dem ist zuzustimmen. A____ ist nach der Stellung der Asylgesuche bzw. nach Ersuchen um Wiederaufnahme des Asylverfahrens jedes Mal untergetaucht bzw. aus der Schweiz ausgereist. Dies führte zweimal zu einem Abschreiben des Asylverfahrens. Auch nach Ergehen des negativen Asylentscheids im August 2021 hat A____ die Schweiz wiederum mindestens zweimal erwiesenermassen verlassen und musste zweimal aus dem Ausland rücküberstellt werden. Damit hat er sich erneut nicht an die behördlichen Anweisungen gehalten, schliesslich ist es ihm im Asylverfahren und ohne Ausweispapiere nicht gestattet, im Schengen-Raum zu reisen. Daran ändert auch der Umstand nichts, dass ihm der Entscheid nicht bereits im August 2021 zugestellt wurde (s. oben E. 2). Ausserdem hat er nach wie vor gegenüber dem Migrationsamt behauptet, er sei libyscher Staatsangehöriger, was nach der Anerkennung seiner Person als tunesischer Staatsangehöriger als unwahr erstellt ist. Dieser Falschangabe betreffend seine Herkunft entsprechend hat er sich auch niemals um den Erhalt von Ausweispapieren gekümmert. Ebenfalls kohärent zu seinen Bemühungen, seine wahre Identität zu verschleiern, ist sodann der Umstand, dass er den Behörden unter verschiedenen Identitäten bekannt ist. Dies zum einen unter dem Namen A____ aus Libyen mit unterschiedlichen Geburtsdaten (geb. am 11. Juni 2001, am 11. Mai 2001, am 1. Januar 2013 [recte: wohl 2003], am 11. Juni 2004) und zum anderen unter den Namen, Staatsangehörigkeiten und Geburtsdaten [...] aus Tunesien, geboren am 11. Mai 2001, und [...] aus Ägypten, geboren am 12. Dezember 2000 (s. Auszug aus dem zentralen Migrationsinformationssystem [ZEMIS] vom 1. Dezember 2021). Hinzu kommt, dass A____ in der Schweiz wiederholt straffällig geworden ist. Es ergingen am 21. Dezember 2019 ein Strafbefehl der Jugendanwaltschaft wegen Diebstahls, Beschimpfung, mehrfache Gewalt gegen Behörden und Beamte sowie Widerhandlung gegen das Übertretungsstrafgesetz, am 5. März 2020 ein Strafbefehl der Jugendanwaltschaft wegen mehrfacher Widerhandlung gegen das AIG (mehrfache Missachtung einer Eingrenzung), am 18. Juni 2020 ein Strafbefehl der Jugendanwaltschaft wegen mehrfacher Widerhandlung gegen das Personenbeförderungsgesetz und mehrfache Widerhandlung gegen das AIG, am 17. September 2021 ein Strafbefehl der Staatsanwaltschaft wegen zwei geringfügigen Vermögensdelikten (Diebstahl und Sachbeschädigung) und am 22. Oktober 2021 ein Strafbefehl der Staatsanwaltschaft wegen Hausfriedensbruchs und mehrfachen geringfügigen Diebstahls. Daraus wird offenbar, dass sich A____ in keiner Art und Weise an die hiesige Rechtsordnung hält. Sodann wurde durch das Migrationsamt am 20. Dezember 2019 eine Eingrenzung auf das Gebiet des Bundesasylzentrums für die Dauer von vier Monaten verfügt. Wie dem Strafbefehl vom 5. März 2020 zu entnehmen ist, hielt sich A____ nicht daran. Vor dem Hintergrund des dargelegten Verhaltens von A____ seit seiner ersten Einreise in die Schweiz im Jahr 2019 ist erstellt, dass im Falle seiner Freilassung mit seinem Untertauchen zu rechnen ist. Dies umso mehr, als ihm nun bekannt ist, dass seine Identität von den tunesischen Behörden anerkannt worden ist, weshalb eine Rückschaffung nach Tunesien rechtlich und tatsächlich möglich ist (s. dazu unten E. 4.2). Daran ändert auch nichts, dass er an der Gerichtsverhandlung um eine Chance gebeten hat, in Freiheit aus der Schweiz ausreisen zu können, nachdem er zuerst in aller Deutlichkeit zum Ausdruck gebracht hat, er werde niemals freiwillig in seine Heimat ausreisen. Seine Zusage der Kooperation ist vor dem Hintergrund seines Verhaltens und seiner Aussagen  auch an der Verhandlung  nicht verlässlich.</w:t>
      </w:r>
    </w:p>
    <w:p>
      <w:r>
        <w:t>Dass mildere Massnahmen, wie die Eingrenzung auf ein Gebiet des Kantons und eine Meldepflicht, A____ nicht von einem Untertauchen abzuhalten vermögen, ist angesichts seines bisherigen Verhaltens auszuschliessen. Wie dargelegt, hat er sich an eine bereits erfolgte Eingrenzung nicht gehalten, ist er bereits mehrfach untergetaucht und zeigt auch sein sonstiges Verhalten, dass er behördlichen Anweisungen keine Folge leistet, wenn ihm dies opportun erscheint. Die Anordnung von Haft ist damit rechtmässig und notwendig, da ein milderes Mittel zur Sicherung seiner Ausweisung untauglich ist.</w:t>
      </w:r>
    </w:p>
    <w:p>
      <w:r>
        <w:t>Soweit A____  droht, er werde sich im Falle seiner Ausschaffung selbst verletzen, kann er damit seine Freilassung ebenfalls nicht erzwingen. Es gibt keinerlei Anzeichen, dass solches mögliche zukünftige Verhalten im Zusammenhang mit einer (psychischen) Erkrankung steht, weshalb von seiner grundsätzlichen Hafterstehungsfähigkeit auszugehen ist.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muss die Haft als Ganzes verhältnismässig sein (vgl. BGE 130 II 56 E. 1S. 58 und BGE 125 II 369 E. 3a S. 374 f.).</w:t>
      </w:r>
    </w:p>
    <w:p>
      <w:r>
        <w:t>4.2Nachdem der Asylentscheid vom 20. August 2021 erst am heutigen Vormittag hat zugestellt und eröffnet werden können, beginnt die Rechtsmittelfrist erst morgen zu laufen. Allerdings ist festzustellen, dass seit dem Ergehen des Asylentscheids bekannt geworden ist, dass A____ seine wahre Identität gegenüber den Asylbehörden nicht offengelegt bzw. diesbezüglich nachweislich falsche Angaben gemacht hat. Das Ergreifen eines Rechtsmittels gegen diesen Asylentscheid kann unter diesen Umständen aus haftrichterlicher Sicht als aussichtslos eingeschätzt werden bzw. ist ein solches (mögliches) Vorgehen als missbräuchlich zu erachten. A____ hat es deshalb in der Hand, die Dauer seiner ausländerrechtlichen Inhaftierung mittels Verzicht auf das Rechtsmittel zu verkürzen, da in diesem Fall die Organisation seiner Repatriierung umgehend möglich ist. Gleichzeitig ist das öffentliche Interesse an seiner Ausschaffung als gross zu bezeichnen, da er mit seinem Verhalten die öffentliche Sicherheit mehrfach gestört und auch einen beachtlichen Kostenaufwand für den Staat generiert hat. Die Anordnung der Haft erweist sich damit auch in zeitlicher Hinsicht als verhältnismässig.</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19. Januar 2022 bis 17. April 2022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