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AUS.2022.2 vom 17. Januar 2022</w:t>
      </w:r>
    </w:p>
    <w:p>
      <w:r>
        <w:t>BS Appellationsgericht, 2022-01-17, DE</w:t>
      </w:r>
    </w:p>
    <w:p>
      <w:r>
        <w:rPr>
          <w:b/>
        </w:rPr>
        <w:t xml:space="preserve">Quelle: </w:t>
      </w:r>
      <w:r>
        <w:t>https://mcp.opencaselaw.ch/entscheid/bs_appellationsgericht_AUS.2022.2</w:t>
      </w:r>
    </w:p>
    <w:p>
      <w:r>
        <w:t>FR: BS_APPELLATIONSGERICHT AUS.2022.2 du 17 janvier 2022</w:t>
      </w:r>
    </w:p>
    <w:p>
      <w:r>
        <w:t>IT: BS_APPELLATIONSGERICHT AUS.2022.2 del 17 gennaio 2022</w:t>
      </w:r>
    </w:p>
    <w:p>
      <w:pPr>
        <w:pStyle w:val="Heading2"/>
      </w:pPr>
      <w:r>
        <w:t>Erwägungen</w:t>
      </w:r>
    </w:p>
    <w:p>
      <w:r>
        <w:rPr>
          <w:b/>
        </w:rPr>
        <w:t>E. 1</w:t>
      </w:r>
    </w:p>
    <w:p>
      <w:r>
        <w:t>lit. b Ziff. 3 und 4 AIG),</w:t>
      </w:r>
    </w:p>
    <w:p>
      <w:r>
        <w:t>dass   der Beurteilte in der Vergangenheit unter den Aliasnamen [...] daktyloskopisch erfasst wurde und darüber hinaus bei strafrechtlich in Erscheinung getretenen Ausländern eher als bei unbescholtenen davon auszugehen ist, dass sie zukünftig behördliche Anordnungen missachten werden (BGE 119 Ib 193 E. 2.b;Göksu, in: Caroni/Gächter/Thurnherr [Hrsg.], Handkommentar AuG, Bern 2010, Art. 76 N 13),</w:t>
      </w:r>
    </w:p>
    <w:p>
      <w:r>
        <w:t>dass   damit auch der Haftgrund des Art. 76 Abs. 1 lit. b Ziff. 3 bzw. 4 AIG erfüllt ist,</w:t>
      </w:r>
    </w:p>
    <w:p>
      <w:r>
        <w:t>dass   der Beurteilte in der Schweiz über kein Beziehungsnetz verfügt, weshalb nicht ersichtlich ist, welche mildere Massnahme als Haft den Vollzug der Wegweisung bzw. Landesverweisung absichern könnte und darüber hinaus auch das Beschleunigungsgebot gewahrt ist, zumal bereits für den 20. Januar 2022 ein Linienflug nach [...] gebucht worden ist,</w:t>
      </w:r>
    </w:p>
    <w:p>
      <w:r>
        <w:t>dass   die Anordnung von zwölf Tagen Haft angesichts der Umstände angemessen erscheint,</w:t>
      </w:r>
    </w:p>
    <w:p>
      <w:r>
        <w:t>dass   sich die Haft damit als rechtmässig erweist,</w:t>
      </w:r>
    </w:p>
    <w:p>
      <w:r>
        <w:t>dass   das Verfahren kostenlos ist (§ 4 Abs. 1 des Gesetzes über den Vollzug der Zwangsmassnahmen im Ausländerrecht),</w:t>
      </w:r>
    </w:p>
    <w:p>
      <w:r>
        <w:t>Demgemäss erkenntder Einzelrichter:</w:t>
      </w:r>
    </w:p>
    <w:p>
      <w:r>
        <w:t>://:        Auf die Durchführung einer mündlichen Verhandlung wird verzichtet.</w:t>
      </w:r>
    </w:p>
    <w:p>
      <w:r>
        <w:t>Die über A____ angeordnete Ausschaffungshaft ist für zwölf Tage bis zum 25. Januar 2022, 13.30 Uhr, rechtmässig und angemessen.</w:t>
      </w:r>
    </w:p>
    <w:p>
      <w:r>
        <w:t>Es werden keine Kosten erhoben.</w:t>
      </w:r>
    </w:p>
    <w:p>
      <w:r>
        <w:t>Das Migrationsamt wird angewiesen, A____ das vorliegende Urteil in einer für ihn verständlichen Sprache zu eröffnen.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