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AUS.2022.10 vom 21. Februar 2022</w:t>
      </w:r>
    </w:p>
    <w:p>
      <w:r>
        <w:t>BS Appellationsgericht, 2022-02-21, DE</w:t>
      </w:r>
    </w:p>
    <w:p>
      <w:r>
        <w:rPr>
          <w:b/>
        </w:rPr>
        <w:t xml:space="preserve">Quelle: </w:t>
      </w:r>
      <w:r>
        <w:t>https://mcp.opencaselaw.ch/entscheid/bs_appellationsgericht_AUS.2022.10</w:t>
      </w:r>
    </w:p>
    <w:p>
      <w:r>
        <w:t>FR: BS_APPELLATIONSGERICHT AUS.2022.10 du 21 février 2022</w:t>
      </w:r>
    </w:p>
    <w:p>
      <w:r>
        <w:t>IT: BS_APPELLATIONSGERICHT AUS.2022.10 del 21 febbraio 2022</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A____ wurde mit Verfügung des Migrationsamts vom 13. Mai 2020 aus der Schweiz und dem Schengenraum weggewiesen. Die Verfügung ist unangefochten in Rechtskraft erwachsen.</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3.2Das Migrationsamt macht geltend, es lägen konkrete Hinweise vor, dass sich A____ der Ausschaffung entziehen wolle. Dem ist zuzustimmen. A____ hätte die Schweiz bereits im August 2020 verlassen müssen. Dies ist ihm bekannt, schliesslich hat er selber mit E-Mail-Schreiben vom 18. August 2020 dem Migrationsamt mitgeteilt, er habe die «Einwanderungsentscheidung» verstanden. Indessen hat er weder die Schweiz und den Schengenraum innert der gesetzten Frist verlassen, noch hat er die beiden Termine zur Besprechung seiner Ausreise Ende des Jahres 2020 wahrgenommen. Vielmehr war er ab diesem Zeitpunkt für die Behörden nicht mehr greifbar. Gleichzeitig hat er sich nicht selbständig darum bemüht, gültige Reisedokumente zu organisieren. An der Einvernahme durch das Migrationsamt hat er sodann in aller Deutlichkeit zum Ausdruck gebracht, dass er nicht gewillt ist, freiwillig nach Haiti zurück zu kehren. Er lebe «lieber wie ein Hund» in der Schweiz als in Haiti. Er hat offen zugegeben, dass er um seinen illegalen Aufenthalt weiss und implizit ausgesagt, dass er die Behörden gemieden habe, um nicht ausgeschafft zu werden. Vor diesem Hintergrund kann nicht davon ausgegangen werden, dass er in Freiheit mit den Behörden kooperiert. Vielmehr ist mit seinem erneuten Untertauchen in der Schweiz oder im angrenzenden Schengenraum zu rechnen. Dies umso mehr, als er auch angegeben hat, regelmässig in Frankreich zu übernachten. Dass er über keine gültigen Papiere verfügt, hat ihn demnach nicht daran gehindert, regelmässig illegal die Grenze nach Frankreich zu überqueren.</w:t>
      </w:r>
    </w:p>
    <w:p>
      <w:r>
        <w:t>Mildere Massnahmen, wie etwa die Eingrenzung auf ein bestimmtes Gebiet des Kantons und eine regelmässige Vorsprachepflicht, vermögen ein erneutes Untertauchen des A____ offensichtlich nicht zu verhindern.</w:t>
      </w:r>
    </w:p>
    <w:p>
      <w:r>
        <w:t>3.3A____ hat in der Einvernahme durch das Migrationsamt am 18. Februar 2022 angegeben, er würde sich erhängen, wenn er nach Haiti zurückkehren müsse. Er wurde deshalb in einer Überwachungszelle untergebracht. Gemäss E-Mail-Schreiben des Migrationsamts vom 20. Februar 2022 hat er sich zwischenzeitlich von einer Suizidabsicht distanziert und ist nun regulär untergebracht. Es liegen keine Hinweise vor, die gegen eine Hafterstehungsfähigkeit sprechen.</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4.2Gemäss E-Mail-Schreiben des Staatsekretariats für Migration (SEM) vom 18. Februar 2022 ist eine Ausreise nach Haiti mit negativem Covid-19-Testresultat zurzeit möglich (s. zur zwangsweisen Abnahme eines Covid-19-Tests [soweit notwendig] Art. 72 AIG) und können gültige Reisedokumente über die Botschaft von Haiti in Paris, Frankreich, organisiert werden. Die Ausschaffung ist damit tatsächlich möglich und auch absehbar. Aufgrund der noch zu tätigenden organisatorischen Belange rechtfertigt sich die Anordnung von drei Monaten Haft ohne weiteres. Die drei Monate enden allerdings am 17. und nicht am 18. Mai 2022.</w:t>
      </w:r>
    </w:p>
    <w:p>
      <w:r>
        <w:rPr>
          <w:b/>
        </w:rPr>
        <w:t>E. 5</w:t>
      </w:r>
    </w:p>
    <w:p>
      <w:r>
        <w:t>A____ hat während der Haftverhandlung einen Asylantrag gestellt. Dies wird dem Migrationsamt mitgeteilt, welches das entsprechende Verfahren zu veranlassen hat. Nachdem A____ seit dem Verlust seines Aufenthaltsrechts bald zwei Jahre Zeit gehabt hätte, einen Asylantrag einzureichen, ist vom Stellen eines missbräuchlichen Asylantrags auszugehen, weshalb Vorbereitungshaft angeordnet werden könnte (s. Art. 75 Abs. 1 lit f AIG). Allerdings ist unter den gegebenen Umständen damit zu rechnen, dass das Asylverfahren rasch durchgeführt wird und der Vollzug der Wegweisung absehbar bleibt, weshalb es bei der Anordnung von Ausschaffungshaft bleiben kann (BGE 125 II 377 E. 2a).</w:t>
      </w:r>
    </w:p>
    <w:p>
      <w:r>
        <w:rPr>
          <w:b/>
        </w:rPr>
        <w:t>E. 6</w:t>
      </w:r>
    </w:p>
    <w:p>
      <w:r>
        <w:t>Es werden keine Kosten erhoben (§ 4 Gesetz über den Vollzug der Zwangsmassnahmen im Ausländerrecht, SG 122.300).</w:t>
      </w:r>
    </w:p>
    <w:p>
      <w:r>
        <w:t>Demgemäss erkenntdie Einzelrichterin:</w:t>
      </w:r>
    </w:p>
    <w:p>
      <w:r>
        <w:t>://:        Die über A____ angeordnete Ausschaffungshaft ist vom 18. Februar 2022 bis zum 17. Mai 2022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