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AUS.2021.43 vom 24. Dezember 2021</w:t>
      </w:r>
    </w:p>
    <w:p>
      <w:r>
        <w:t>BS Appellationsgericht, 2021-12-24, DE</w:t>
      </w:r>
    </w:p>
    <w:p>
      <w:r>
        <w:rPr>
          <w:b/>
        </w:rPr>
        <w:t xml:space="preserve">Quelle: </w:t>
      </w:r>
      <w:r>
        <w:t>https://mcp.opencaselaw.ch/entscheid/bs_appellationsgericht_AUS.2021.43</w:t>
      </w:r>
    </w:p>
    <w:p>
      <w:r>
        <w:t>FR: BS_APPELLATIONSGERICHT AUS.2021.43 du 24 décembre 2021</w:t>
      </w:r>
    </w:p>
    <w:p>
      <w:r>
        <w:t>IT: BS_APPELLATIONSGERICHT AUS.2021.43 del 24 dicembre 2021</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AIG normiert Gründe, welche als konkrete Indizien befürchten lassen, die betroffene Person werde sich der Wegweisung entziehen. Es handelt sich dabei um objektive gesetzliche Kriterien für die Annahme von Fluchtgefahr.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Einreiseverbots (sowie fehlende Möglichkeit der sofortigen Wegweisung), angeführt. Die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 7. März 2014 S. 2675 ff., 2702; VGE AUS.2021.20 vom 27. Mai 2021 E. 2.1, AUS.2019.75 vom 22. Oktober 2019 E. 2.1).</w:t>
      </w:r>
    </w:p>
    <w:p>
      <w:r>
        <w:rPr>
          <w:b/>
        </w:rPr>
        <w:t>E. 2.2</w:t>
      </w:r>
    </w:p>
    <w:p>
      <w:r>
        <w:t>2.2.1Wie sich aus dem EURODAC-Trefferformular ergibt, hat der Beurteilte am 22. Juli bzw. am 12. November 2014 in Italien (Brindisi und Brescia) sowie am 11. September 2019 in Frankreich (570) ein Asylgesuch gestellt. Nur gut 15 Monate später, am 1. Dezember 2020, hat er in Italien (Brescia) erneut um Asyl ersucht, wo ihm am 9. Dezember 2020 gemäss E-Mail des Sirene-Büros auch ein fünf Jahre gültiges schengenweites Einreiseverbot eröffnet wurde. Nunmehr ist der Beurteilte von Mailand herkommend  ohne die notwendigen Einreisevoraussetzungen zu erfüllen und das schengenweite Einreiseverbot ignorierend  mit einem FlixBus in die Schweiz eingereist. Gemäss seinen Angaben gegenüber den Schweizer Behörden habe er  obwohl Familie und Freunde in Italien lebten  die Weihnachtstage in Frankreich verbringen wollen.</w:t>
      </w:r>
    </w:p>
    <w:p>
      <w:r>
        <w:t>2.2.2Nach dem Gesagten ist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nach Frankreich oder Italien) bzw. untertauchen würde und damit für die Behörden nicht mehr greifbar wäre und sich der Durchführung der Wegweisung entziehen würde.</w:t>
      </w:r>
    </w:p>
    <w:p>
      <w:r>
        <w:t>2.3Es stellt sich im Weiteren die Frage, ob ein milderes Mittel als Haft vorhanden ist, welches ein Untertauchen des Beurteilten wirksam verhindern könnte. Der Beurteilte hat keinerlei Beziehungen zur Schweiz und trägt auch keine Kredit- bzw. Debitkarte auf sich. Der grösste Teil der bei ihm in den Effekten aufgefundenen EUR 1'009. Bargeld werden mutmasslich für die Kosten des noch auszufertigenden Strafbefehls (Verurteilung wegen rechtswidriger Einreise im Sinne von Art. 115 Abs. 1 lit. a AIG) eingezogen werden. A____ könnte hier deshalb nirgendwo für die Dauer seines erzwungenen Aufenthalts günstig unterkommen. In dieser Situation erscheint der Anreiz für den Beurteilten, die Freiheit für eine erneute Weiterreise zu missbrauchen bzw. in der Schweiz unterzutauchen, hoch. Eine regelmässige Meldepflicht könnte den offensichtlich hochmobilen Beurteilten kaum davon abhalten. Darüber hinaus trägt er auch keinen Reisepass auf sich, der für die Dauer des Verfahrens beim Migrationsamt hinterlegt werden könnte, wobei ihn das Fehlen eines solchen  wie sich aus der Sachverhaltsdarstellung ergibt  ohnehin nicht davon abgehalten hat, zu reisen und auch ein schengenweites Einreiseverbot besteht. Die Haft ist zur Sicherstellung des weiteren Verfahrens daher notwendig.</w:t>
      </w:r>
    </w:p>
    <w:p>
      <w:r>
        <w:t>2.4Anhaltspunkte, welche die Haft des Beurteilten als unverhältnismässig erscheinen lassen würden, sind nicht ersichtlich, zumal es sich bei ihm um einen jungen, gesunden Mann handelt. Auch ist die Anordnung der Vorbereitungshaft für die maximal mögliche Dauer von sieben Wochen (Art. 76a Abs. 3 lit. a AIG) nicht zu beanstanden, da die Zuständigkeit von zwei Staaten (Italien und Frankreich) zu prüfen ist und das Staatssekretariat für Migration (SEM) anschliessend die Wegweisung verfügen muss. Das Migrationsamt ist jedoch gehalten, das notwendige Verfahren mit einer Anfrage beim SEM zügig in die Wege zu leiten und damit das Beschleunigungsgenbot weiterhin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23. Dezember 2021 bis zum 10. Februar 2022,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