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AUS.2021.35 vom 4. November 2021</w:t>
      </w:r>
    </w:p>
    <w:p>
      <w:r>
        <w:t>BS Appellationsgericht, 2021-11-04, DE</w:t>
      </w:r>
    </w:p>
    <w:p>
      <w:r>
        <w:rPr>
          <w:b/>
        </w:rPr>
        <w:t xml:space="preserve">Quelle: </w:t>
      </w:r>
      <w:r>
        <w:t>https://mcp.opencaselaw.ch/entscheid/bs_appellationsgericht_AUS.2021.35</w:t>
      </w:r>
    </w:p>
    <w:p>
      <w:r>
        <w:t>FR: BS_APPELLATIONSGERICHT AUS.2021.35 du 4 novembre 2021</w:t>
      </w:r>
    </w:p>
    <w:p>
      <w:r>
        <w:t>IT: BS_APPELLATIONSGERICHT AUS.2021.35 del 4 novembre 2021</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Es handelt sich dabei um objektive gesetzliche Kriterien für die Annahme von Fluchtgefahr. Als Anzeichen dafür, dass sich die betroffene Person der Durchführung der Wegweisung entziehen will, wird insbesondere deren Verhalten in der Schweiz oder im Ausland, welches darauf schliessen lässt, dass sie sich behördlichen Anordnungen widersetzt (Art. 76a Abs. 2 lit. b) oder das Betreten des Gebiets der Schweiz trotz Einreiseverbot (sowie fehlende Möglichkeit der sofortigen Wegweisung), angeführt. Die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w:t>
      </w:r>
    </w:p>
    <w:p>
      <w:r>
        <w:rPr>
          <w:b/>
        </w:rPr>
        <w:t>E. 2.2</w:t>
      </w:r>
    </w:p>
    <w:p>
      <w:r>
        <w:t>2.2.1Wie sich aus dem EURODAC-Trefferformular ergibt, hat der Beurteilte am 15. November 2018 und 1. März 2021 in Griechenland je ein Asylgesuch gestellt. Trotzdem ist er nach Österreich weitergereist und hat dort am 19. Oktober 2021 erneut um Asyl ersucht. Nichtsdestotrotz ist der Beurteilte nur gut zwei Wochen später von Salzburg herkommend  ohne die notwendigen Einreisevoraussetzungen zu erfüllen  mit dem Zug in die Schweiz eingereist. Gemäss seinen Angaben gegenüber den Schweizer Behörden habe er Verwandte in Frankreich besuchen wollen.</w:t>
      </w:r>
    </w:p>
    <w:p>
      <w:r>
        <w:t>2.2.2Nach dem Gesagten ist äusserst unwahrscheinlich, dass sich der offenbar hochmobile Beurteilte im Falle seiner Freilassung einem geordneten Verfahren (= in der Schweiz abwarten, bis klar ist, in welches Land er zurückkehren kann/muss) unterziehen würde. Vielmehr ist anzunehmen, dass er entgegen den behördlichen Anordnungen weiterhin rechtswidrig im Schengen-Raum umherreisen (insbesondere wie beabsichtigt nach Frankreich) bzw. untertauchen würde und damit für die Behörden nicht mehr greifbar wäre und sich der Durchführung der Wegweisung entziehen würde.</w:t>
      </w:r>
    </w:p>
    <w:p>
      <w:r>
        <w:t>2.3Es stellt sich im Weiteren die Frage, ob ein milderes Mittel als Haft vorhanden ist, welches ein Untertauchen des Beurteilten wirksam verhindern könnte. Der Beurteilte hat keinerlei Beziehungen zur Schweiz und trägt gemäss Polizeirapport auch keine Barschaft auf sich. A____ könnte hier deshalb nirgendwo für die Dauer seines erzwungenen Aufenthalts günstig unterkommen. In dieser Situation erscheint der Anreiz, die Freiheit für eine erneute Weiterreise zu missbrauchen bzw. in der Schweiz unterzutauchen, hoch, zumal der Beurteilte auch unmissverständlich zu Protokoll gegeben hat, dass er bei einer Freilassung nach Frankreich weiterreisen würde. Eine regelmässige Meldepflicht könnte den offensichtlich hochmobilen A____ kaum von einer Flucht bzw. einem Untertauchen abhalten. Darüber hinaus besitzt er auch keinen Reisepass, der für die Dauer des Verfahrens beim Migrationsamt hinterlegt werden könnte, wobei ihn das Fehlen eines solchen  wie sich aus der Sachverhaltsdarstellung ergibt  ohnehin nicht davon abgehalten hat, zu reisen. Die Haft ist somit zur Sicherstellung des weiteren Verfahrens daher notwendig.</w:t>
      </w:r>
    </w:p>
    <w:p>
      <w:r>
        <w:t>2.4Anhaltspunkte, welche die Haft des Beurteilten als unverhältnismässig erscheinen lassen würden, sind nicht ersichtlich, zumal es sich bei ihm um einen jungen, gesunden Mann handelt. Daran ändert auch nichts, dass die dreijährige Bearbeitungszeit des Asylgesuchs in Griechenland  sollte die diesbezügliche Behauptung des Beurteilten denn zutreffen  exorbitant lang erscheint. Auch ist die Anordnung der Vorbereitungshaft für die maximal mögliche Dauer von sieben Wochen (Art. 76a Abs. 3 lit. a AIG) nicht zu beanstanden, da die Zuständigkeit von zwei Staaten (Griechenland und Österreich) zu prüfen ist und das Staatssekretariat für Migration (SEM) anschliessend die Wegweisung verfügen muss. Das Migrationsamt ist jedoch gehalten, das notwendige Verfahren mit einer Anfrage beim SEM zügig in die Wege zu leiten und damit das Beschleunigungsgenbot weiterhin zu wahren.</w:t>
      </w:r>
    </w:p>
    <w:p>
      <w:r>
        <w:t>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3. November 2021 bis zum 22. Dezember 2021, rechtmässig und angemessen.</w:t>
      </w:r>
    </w:p>
    <w:p>
      <w:r>
        <w:t>Es werden keine Kosten erhoben.</w:t>
      </w:r>
    </w:p>
    <w:p>
      <w:r>
        <w:t>Der Entscheid ist A____ in einer für ihn verständlichen Sprache durch das Migrationsamt zu eröffnen.</w:t>
      </w:r>
    </w:p>
    <w:p>
      <w:r>
        <w:t>Mitteilung an:</w:t>
      </w:r>
    </w:p>
    <w:p>
      <w:r>
        <w:t>-           A____</w:t>
      </w:r>
    </w:p>
    <w:p>
      <w:r>
        <w:t>-           Migrationsamt Basel-Stadt</w:t>
      </w:r>
    </w:p>
    <w:p>
      <w:r>
        <w:t>-           Staatssekretariat für Migration (SEM)</w:t>
      </w:r>
    </w:p>
    <w:p>
      <w:r>
        <w:t>VERWALTUNGSGERICHT BASEL-STADT</w:t>
      </w:r>
    </w:p>
    <w:p>
      <w:r>
        <w:t>Der Einzelrichter für Zwangsmassnahmen im Ausländerrecht</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rPr>
          <w:b/>
        </w:rPr>
        <w:t>E. 7</w:t>
      </w:r>
    </w:p>
    <w:p>
      <w:r>
        <w:t>März 2014 S. 2675 ff., 2702; VGE AUS.2021.20 vom 27. Mai 2021 E. 2.1, AUS.2019.75 vom 22. Oktober 2019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