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AUS.2021.30 vom 3. September 2021</w:t>
      </w:r>
    </w:p>
    <w:p>
      <w:r>
        <w:t>BS Appellationsgericht, 2021-09-03, DE</w:t>
      </w:r>
    </w:p>
    <w:p>
      <w:r>
        <w:rPr>
          <w:b/>
        </w:rPr>
        <w:t xml:space="preserve">Quelle: </w:t>
      </w:r>
      <w:r>
        <w:t>https://mcp.opencaselaw.ch/entscheid/bs_appellationsgericht_AUS.2021.30</w:t>
      </w:r>
    </w:p>
    <w:p>
      <w:r>
        <w:t>FR: BS_APPELLATIONSGERICHT AUS.2021.30 du 3 septembre 2021</w:t>
      </w:r>
    </w:p>
    <w:p>
      <w:r>
        <w:t>IT: BS_APPELLATIONSGERICHT AUS.2021.30 del 3 settembre 2021</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dabei um objektive gesetzliche Kriterien für die Annahme von Fluchtgefahr.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 (sowie fehlende Möglichkeit der sofortigen Wegweisung), angeführt. Die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Beurteilte am 9. November 2015 in Österreich ein Asylgesuch gestellt. Trotzdem ist er in der Folge nach Dänemark weitergereist und hat dort nur zwei Monate später, am 10. Januar 2016, erneut um Asyl ersucht. Am 26. September 2018 hat er nochmals in Österreich ein Asylgesuch gestellt, woraufhin er am 9. März 2019 aus dem Dublin-Raum in seine Heimat Algerien ausreisen musste. Trotz Einreiseverbots für den Schengen-Raum (von den Österreichischen Behörden erfasst und bis zum 9. März 2022 gültig), hat der Beurteilte gemäss Auskunft der Deutschen Bundespolizei am 9. Februar 2021 auch in Deutschland ein Asylgesuch gestellt, ist dort aber per 23. März 2021 mit «Fortzug nach unbekannt» verzeichnet. Obwohl auf der deutschen «Aussetzung der Abschiebung (Duldung)» explizit vermerkt ist, dass der Aufenthalt auf den Kreis [...] beschränkt ist und der entsprechende Inhaber mit dieser Bescheinigung nicht der Pass- und Ausweispflicht genügt, ist der Beurteilte nunmehr von Strasbourg herkommend  ohne die notwendigen Einreisevoraussetzungen zu erfüllen  mit dem Zug in die Schweiz eingereist. Gemäss seinen Angaben gegenüber den Schweizer Behörden habe er seine Schwester in Frankreich besucht und beabsichtige nun, nach Italien zu seiner kranken Mutter weiterzureisen.</w:t>
      </w:r>
    </w:p>
    <w:p>
      <w:r>
        <w:t>2.2.2Nach dem Gesagten ist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Italien) bzw. untertauchen würde und damit für die Behörden einmal mehr nicht mehr greifbar wäre und sich der Durchführung der Wegweisung entziehen würde. Kommt dazu, dass zumindest der erhärtete Verdacht besteht, dass der Beurteilte im ICE von [...] ein als gestohlen gemeldetes und in seinen Effekten entdecktes Mobiltelefon entwendet hat, was einen zusätzlichen Fluchtanreiz mit sich bringt. In diesem Zusammenhang ist auch festzuhalten, dass A____ gegenüber staatlichen Behörden wider jegliche Evidenz erneut falsche Angaben gemacht hat. So hat er gegenüber den EZV-Beamten angegeben, das Handy gehöre seiner in Frankreich wohnenden Schwester. Indes konnte das Mobiltelefon eindeutig einem in Deutschland ansässigen Mann zugeordnet werden und war auch auf Deutsch eingestellt.</w:t>
      </w:r>
    </w:p>
    <w:p>
      <w:r>
        <w:t>2.3Es stellt sich im Weiteren die Frage, ob ein milderes Mittel als Haft vorhanden ist, welches ein Untertauchen des Beurteilten wirksam verhindern könnte. Der Beurteilte hat keinerlei Beziehungen zur Schweiz und trägt auch keine Kredit- bzw. Debitkarte auf sich. Die bei ihm in den Effekten festgestellten EUR 377.40 Bargeld werden mutmasslich für die Kosten des Strafbefehls vom 2. September 2021 (Verurteilung wegen rechtswidriger Einreise im Sinne von Art. 115 Abs. 1 lit. a AIG) eingezogen werden. A____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Beurteilten kaum davon abhalten. Darüber hinaus besitzt er auch keinen Reisepass, der für die Dauer des Verfahrens beim Migrationsamt hinterlegt werden könnte, wobei ihn das Fehlen eines solchen  wie sich aus der Sachverhaltsdarstellung ergibt  ohnehin nicht davon abgehalten hat, zu reisen und auch ein Schengen-weites Einreiseverbot besteht. Die Haft ist somit zur Sicherstellung des weiteren Verfahrens daher notwendig.</w:t>
      </w:r>
    </w:p>
    <w:p>
      <w:r>
        <w:t>2.4Anhaltspunkte, welche die Haft des Beurteilten als unverhältnismässig erscheinen lassen würden, sind nicht ersichtlich, zumal es sich bei ihm um einen jungen, gesunden Mann handelt. Dass seine Mutter offenbar krank ist, ist bedauerlich, kann aber nicht zur Haftentlassung führen, zumal hierzu keinerlei Belege existieren und der Beurteilte seine Mutter zufolge des Einreiseverbots aktuell auch nicht auf legalem Weg besuchen könnte. Es ist ihm freilich unbenommen, mit ihr telefonischen Kontakt zu halten. Auch ist die Anordnung der Vorbereitungshaft für die maximal mögliche Dauer von sieben Wochen (Art. 76a Abs. 3 lit. a AIG) nicht zu beanstanden, da die Zuständigkeit von zwei Staaten (Dänemark und Österreich; Deutschland hat die Rückübernahme gemäss Auskunft der Bundespolizei vom 2. September 2021 verweigert und auf die «Dublin-Schiene» verwiesen) zu prüfen ist und das Staatssekretariat für Migration (SEM) anschliessend die Wegweisung verfügen muss. Das Migrationsamt ist jedoch gehalten, das notwendige Verfahren mit einer Anfrage beim SEM zügig in die Wege zu leiten und damit das Beschleunigungsgenbot weiterhin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 September 2021 bis zum 20. Oktober 2021,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AUS.2021.20 vom 27. Mai 2021 E. 2.1,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