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AUS.2021.20 vom 27. Mai 2021</w:t>
      </w:r>
    </w:p>
    <w:p>
      <w:r>
        <w:t>BS Appellationsgericht, 2021-05-27, DE</w:t>
      </w:r>
    </w:p>
    <w:p>
      <w:r>
        <w:rPr>
          <w:b/>
        </w:rPr>
        <w:t xml:space="preserve">Quelle: </w:t>
      </w:r>
      <w:r>
        <w:t>https://mcp.opencaselaw.ch/entscheid/bs_appellationsgericht_AUS.2021.20</w:t>
      </w:r>
    </w:p>
    <w:p>
      <w:r>
        <w:t>FR: BS_APPELLATIONSGERICHT AUS.2021.20 du 27 mai 2021</w:t>
      </w:r>
    </w:p>
    <w:p>
      <w:r>
        <w:t>IT: BS_APPELLATIONSGERICHT AUS.2021.20 del 27 maggio 2021</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Beurteilte am 10. November 2016 in Schweden ein Asylgesuch gestellt. Trotzdem ist er in der Folge nach Italien weitergereist und hat dort nur gut 2 ½ Monate später, am 31. Januar 2017, erneut um Asyl ersucht. Obwohl auf seiner italienischen Identitätskarte explizit vermerkt ist, dass diese nicht zum Grenzübertritt berechtigt («non valida per l'Espatrio»),ist der Beurteilte nunmehr über den Grenzübergang Chiasso von Italien herkommend  ohne die notwendigen Einreisevoraussetzungen zu erfüllen  mit dem Zug in die Schweiz eingereist. Gemäss seinen Angaben anlässlich der Befragung beim Migrationsamt beabsichtigte er, nach Frankreich weiterzureisen.</w:t>
      </w:r>
    </w:p>
    <w:p>
      <w:r>
        <w:t>2.2.2Nach dem Gesagten ist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Frankreich) bzw. untertauchen würde und damit für die Behörden nicht mehr greifbar wäre (Art. 76a Abs. 2 lit. b AIG).</w:t>
      </w:r>
    </w:p>
    <w:p>
      <w:r>
        <w:t>2.3Es stellt sich im Weiteren die Frage, ob ein milderes Mittel als Haft vorhanden ist, welches ein Untertauchen des Beurteilten wirksam verhindern könnte. A____ verfügt nach Abzug der als Kostendepot eingezogenen EUR 600. nur noch über unwesentlich Bargeld und hat auch keinerlei Beziehungen zur Schweiz. Er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A____ kaum davon abhalten. Darüber hinaus besitzt er auch keinen Reisepass, der für die Dauer des Verfahrens beim Migrationsamt hinterlegt werden könnte, wobei ihn das Fehlen eines solchen  wie sich aus der Sachverhaltsdarstellung ergibt 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Dass er sich mit COVID-19 infiziert hat (positiver PCR-Test vom 27. Mai 2021) und sich aktuell auf der Quarantänestation des Gefängnisses Bässlergut befindet, ändert daran nichts, zumal seine medizinische Betreuung dort sichergestellt ist. Auch ist die Anordnung der Vorbereitungshaft für die maximal mögliche Dauer von sieben Wochen (Art. 76a Abs. 3 lit. a AIG) nicht zu beanstanden, da die Zuständigkeit von zwei Staaten zu prüfen ist und das Staatssekretariat für Migration (SEM) anschliessend die Wegweisung verfügen muss. Das Migrationsamt ist jedoch gehalten, das notwendige Verfahren mit einer Anfrage beim SEM zügig in die Wege zu leiten und damit das Beschleunigungsgenbot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25. Mai 2021 bis zum 13. Juli 2021, rechtmässig und angemessen.</w:t>
      </w:r>
    </w:p>
    <w:p>
      <w:r>
        <w:t>Es werden keine Kosten erhoben.</w:t>
      </w:r>
    </w:p>
    <w:p>
      <w:r>
        <w:t>Der Entscheid ist A____ in einer für ihn verständlichen Sprache durch das Migrationsamt zu eröffnen.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