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AUS.2020.35 vom 2. September 2020</w:t>
      </w:r>
    </w:p>
    <w:p>
      <w:r>
        <w:t>BS Appellationsgericht, 2020-09-02, DE</w:t>
      </w:r>
    </w:p>
    <w:p>
      <w:r>
        <w:rPr>
          <w:b/>
        </w:rPr>
        <w:t xml:space="preserve">Quelle: </w:t>
      </w:r>
      <w:r>
        <w:t>https://mcp.opencaselaw.ch/entscheid/bs_appellationsgericht_AUS.2020.35</w:t>
      </w:r>
    </w:p>
    <w:p>
      <w:r>
        <w:t>FR: BS_APPELLATIONSGERICHT AUS.2020.35 du 2 septembre 2020</w:t>
      </w:r>
    </w:p>
    <w:p>
      <w:r>
        <w:t>IT: BS_APPELLATIONSGERICHT AUS.2020.35 del 2 settembre 2020</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ist zweimal des Landes verwiesen worden, letztmals für die Dauer von 20 Jahren. Beide Strafurteile sind in Rechtskraft erwachsen. Damit ist diese Voraussetzung für die Anordnung von Ausschaffungshaft erfüllt.</w:t>
      </w:r>
    </w:p>
    <w:p>
      <w:r>
        <w:rPr>
          <w:b/>
        </w:rPr>
        <w:t>E. 3</w:t>
      </w:r>
    </w:p>
    <w:p>
      <w:r>
        <w:t>3.1Nach den gesetzlichen Vorschriften kann eine ausländische Person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sie in 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 Die vorerwähnten Varianten von Art. 76 Abs. 1 lit. b Ziff. 3 und 4 AIG werden in der Praxis zum Haftgrund der "Untertauchensgefahr" zusammengefasst (vgl. Urteil 2C_871/2012 vom 28. Januar 2013 E. 4.1, mit Hinweisen). Eine solche Gefahr wird in der Praxis regelmässig bejaht, wenn die weggewiesene Person bereits einmal untergetaucht ist, wenn sie durch erkennbar unglaubwürdige und widersprüchliche Angaben die Vollzugsbemühungen zu erschweren versucht oder wenn sie sonst klar zu erkennen gibt, dass sie nicht bereit ist, in ihre Heimat zurückzukehren (BGE 130 II 56 E. 3.1 S. 58 f.).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ausländischen Person doch eher als bei einer unbescholtenen davon auszugehen, sie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(vgl.Hugi Yar, Zwangsmassnahmen im Ausländerrecht, in: Ausländerrecht, Uebersax et al. [Hrsg.], 2. Auflage 2009, Rz. 10.94; Entscheid des Verwaltungsgerichts ZH VB.2014.00104 E. 4.3).</w:t>
      </w:r>
    </w:p>
    <w:p>
      <w:r>
        <w:t>Die Ausschaffungshaft setzt nicht voraus, dass der betroffenen ausländischen Person eine Ausreisfrist gesetzt wurde und sie bereits Gelegenheit zur selbständigen Ausreise hatte, da sie im Falle des Bestehens einer Untertauchensgefahr eine solche Frist zum Untertauchen nutzen könnte (Businger, Ausländerrechtliche Haft, in: Zürcher Studien zum öffentlichen Recht, Zürich/Basel/Genf 2015, S. 98).</w:t>
      </w:r>
    </w:p>
    <w:p>
      <w:r>
        <w:t>3.2Das Migrationsamt begründet die angeordnete Haft mit der fehlenden Kooperation des A____, welcher sich seit 2016 nicht um die Beschaffung von Papieren gekümmert und den Flug vom 8. Februar 2020 verweigert habe. Dem ist beizupflichten. A____ hat sich bislang geweigert, die Schweiz freiwillig zu verlassen. Insbesondere hat der für den 8. Februar 2020 nach der bedingten Entlassung aus dem Strafvollzug geplante Flug nach Tunesien einzig aufgrund seines Verhaltens nicht stattfinden können. Hinzu kommt, dass A____ sich nach seiner Einreise als lybischen Staatangehörigen B____ ausgegeben hat. Er hat demnach die Schweizer Behörden über seine wahre Identität getäuscht und sich unter einer erfundenen Identität und Lebensgeschichte versucht ein Aufenthaltsrecht in der Schweiz zu erschleichen. Während des laufenden und von ihm initiierten Asylverfahrens ist er sodann zweimal untergetaucht. Auch ist er in der Schweiz wiederholt straffällig geworden. Damit ist erstellt, dass A____ nicht bereit ist, sich an die hiesige Rechtsordnung zu halten. Es ist deshalb davon auszugehen, dass er in Freiheit und angesichts der nun konkret geplanten Rückführung in einem Sonderflug (s. unten E. 4.2) erneut untertauchen wird. Daran ändert auch nichts, dass er sich seit der Entlassung aus der Haft im März 2020 an seine Vorsprachetermine beim Migrationsamt gehalten hat, zumal er in dieser Zeit aufgrund der Pandemiesituation davon ausgehen konnte, dass eine Rückführung für eine gewisse Zeitspanne gar nicht möglich ist. Da sich dies nun geändert hat, ist nicht mehr mit seiner Kooperation zu rechnen. Der Haftgrund der Untertauchensgefahr ist gegeben.</w:t>
      </w:r>
    </w:p>
    <w:p>
      <w:r>
        <w:t>Richtig ist auch die Ausführung des Migrationsamts, dass aufgrund der Verurteilungen des A____ wegen Diebstahls und gewerbsmässigen Diebstahls der Haftgrund von Art. 76 Abs. 1 lit. b i.V.m. Art. 75 Abs. 1 lit. h AIG (Verurteilung wegen eines Verbrechens) vorliegt.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Zudem muss der Vollzug absehbar sein. Schliesslich muss die zuständige Behörde ohne Verzug über die Aufenthaltsberechtigung des Ausländers entscheiden (Art. 75 Abs. 2 AIG, f.).</w:t>
      </w:r>
    </w:p>
    <w:p>
      <w:r>
        <w:t>4.2Das Migrationsamt hat A____ in Ausschaffungshaft genommen, damit der Vollzug der Landesverweisung des A____ im bereits organisierten Sonderflug nach Tunesien vom 16. September 2020 sichergestellt ist. Vor der Flugreise ist ausserdem ein Laissez-Passer bei den tunesischen Behörden anzufordern, da A____ über keine Papiere verfügt. Ein solches Laissez-Passer haben die tunesischen Behörden bereits für die gescheiterte Rückführung vom Februar 2020 ausgestellt, weshalb davon auszugehen ist, dass es wieder erhältlich gemacht werden kann. Damit ist der Vollzug tatsächlich möglich und absehbar. Mildere Massnahmen, insbesondere eine regelmässige Meldepflicht oder die Eingrenzung auf ein bestimmtes Gebiet der Kantons, vermögen angesichts der Renitenz des A____ sowie der Untertauchensgefahr den Vollzug nicht zu sichern. Die Haft ist damit rechtmässig und verhältnismässig. Sie wurde vom Migrationsamt bis zum 1. Oktober 2020 und damit über das Datum des geplanten Rückflugs angeordnet. Damit wird auf allfällige organisatorische Verschiebungen Rücksicht genommen. Die angeordnete Haft erweist sich als recht- und verhältnismässig.</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 September 2020 bis 1. Oktober 2020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