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AUS.2020.34 vom 28. August 2020</w:t>
      </w:r>
    </w:p>
    <w:p>
      <w:r>
        <w:t>BS Appellationsgericht, 2020-08-28, DE</w:t>
      </w:r>
    </w:p>
    <w:p>
      <w:r>
        <w:rPr>
          <w:b/>
        </w:rPr>
        <w:t xml:space="preserve">Quelle: </w:t>
      </w:r>
      <w:r>
        <w:t>https://mcp.opencaselaw.ch/entscheid/bs_appellationsgericht_AUS.2020.34</w:t>
      </w:r>
    </w:p>
    <w:p>
      <w:r>
        <w:t>FR: BS_APPELLATIONSGERICHT AUS.2020.34 du 28 août 2020</w:t>
      </w:r>
    </w:p>
    <w:p>
      <w:r>
        <w:t>IT: BS_APPELLATIONSGERICHT AUS.2020.34 del 28 agosto 2020</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 Ausschaffungshaft hat am 26. August 2020 begonnen, da der erste Tag der Inhaftierung, der 25. August 2020, im Strafbefehl vom 26. August 2020 berücksichtigt wurde und damit strafrechtlich und nicht ausländerrechtlich motiviert war. Die Überprüfungsfrist betreffend die angeordnete Ausschaffungshaft ist mit der heutigen Verhandlung und Haftüberprüfung eingehalten.</w:t>
      </w:r>
    </w:p>
    <w:p>
      <w:r>
        <w:rPr>
          <w:b/>
        </w:rPr>
        <w:t>E. 2</w:t>
      </w:r>
    </w:p>
    <w:p>
      <w:r>
        <w:t>2.1Die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w:t>
      </w:r>
    </w:p>
    <w:p>
      <w:r>
        <w:t>Das Verfahren vor dem Haftrichter dient nicht der Überprüfung des Wegweisungsentscheids oder von anderen den Ausländer zur Ausreise verpflichtenden Verfügungen. Der Haftrichter hat sich grundsätzlich nur zu vergewissern, ob (überhaupt) ein Weg- oder Ausweisungsentscheid vorliegt; dessen Rechtmässigkeit bildet nicht Gegenstand seines Verfahrens. Diesbezügliche Einwände sind im Asyl-, Bewilligungs- oder Wegweisungsverfahren durch die jeweils zuständigen Behörden zu prüfen, nicht (erstinstanzlich) durch den Haftrichter. Die betroffene Person muss sich in diesen Punkten nötigenfalls mit einem Wiedererwägungsgesuch an das Bundesamt oder die zuständige kantonale Ausländerbehörde wenden und hernach den entsprechenden Rechtsweg beschreiten. Nur wenn der Wegweisungsentscheid offensichtlich unzulässig, d.h. geradezu willkürlich bzw. nichtig erscheint, darf bzw. muss die Haftgenehmigung verweigert werden, da der Vollzug einer offenkundig rechtswidrigen Anordnung nicht mit einer ausländerrechtlichen Zwangsmassnahme sichergestellt werden kann (BGE 130 II 56 E. 2 S. 58; 128 II 193 E. 2.2.2 S. 198 mit Hinweisen; 121 II 59 E. 2c S. 62; Urteil 2C_749/2012 vom 28. August 2012 E. 2.1).</w:t>
      </w:r>
    </w:p>
    <w:p>
      <w:r>
        <w:t>2.2A____ ist erstmals am 7. August 2020 und seither weitere zweimal (am 11. und 13. August 2020) aus der Schweiz weggewiesen worden. A____ ist Rumäne und damit EU-Staatsangehöriger. Für die Regelung seines Aufenthalts in der Schweiz kommen die Bestimmungen des Freizügigkeitsabkommens zwischen der Schweiz und der EU (FZA, SR 0.142.112.681) zur Anwendung. Staatsangehörige von Vertragsparteien des FZA und dessen Protokollen, die in der Schweiz keine Erwerbstätigkeit ausüben, haben gegen Vorlage eines gültigen Personalausweises oder Reisepasses das Recht auf Einreise und Aufenthalt von bis zu drei Monaten; vorbehalten bleiben Gründe der öffentlichen Ordnung. Sie sind insbesondere nicht verpflichtet, den Behörden ihre Ankunft zu melden und haben auch keine weiteren Nachweise zu erbringen, etwa dass sie während ihres Aufenthalts über ausreichende finanzielle Mittel verfügen (BGE 143 IV 97 E. 1 S. 99). A____ hält sich allerdings seit über 12 Monaten in der Schweiz auf, weshalb sein voraussetzungsloser Aufenthalt längst beendet ist. Er hat sich bei den Schweizer Behörden nach Ablauf von drei Monaten nie gemeldet und geht keiner Erwerbstätigkeit nach. Gemäss eigenen Angaben hat er in der Schweiz vom Betteln gelebt und hat die Caritas ihm finanziell geholfen. Die Behauptung des A____, er habe in der Schweiz Arbeit gesucht, ist angesichts seines Verhaltens seit Ankunft in der Schweiz als Schutzbehauptung zu werten, zumal er während der gesamten Dauer seines Aufenthalts immer wieder wegen starker Trunkenheit in der Öffentlichkeit aufgefallen ist. Damit ist festzustellen, dass er sich als erwerbsloser EU-Bürger in der Schweiz aufhält. Art. 6 FZA i.V.m. Art. 24 Anhang I FZA regelt die Voraussetzungen, unter denen Staatsangehörige von EU/EFTA-Staaten, die nicht erwerbstätig sind, einen Anspruch auf eine Aufenthaltsbewilligung in der Schweiz haben. Dies betrifft grundsätzlich alle Personen, die nicht aufgrund einer anderen Bestimmung des Abkommens eine Aufenthaltsbewilligung erhalten, in der Praxis aber vor allem Studierende und Rentner. Nichterwerbstätige dürfen als Grundsatz dem aufnehmenden Staat finanziell nicht zur Last fallen. Deshalb müssen sie, damit sie Anspruch auf eine Aufenthaltsbewilligung haben, über ausreichend finanzielle Mittel für sich und ihre Familie sowie über einen umfassenden Krankenversicherungsschutz verfügen (Caroni/Scheiber/Preisig/Zoeteweij, Migrationsrecht, 4. Auflage 2018, S. 348). Diese Voraussetzungen erfüllt A____ nicht. Er hat im Gegenteil der Schweiz aufgrund der diversen durch ihn verursachten Polizeieinsätze und insbesondere durch seine Spitalaufenthalte grössere Kosten verursacht. Die Wegweisung ist damit nicht willkürlich.</w:t>
      </w:r>
    </w:p>
    <w:p>
      <w:r>
        <w:t>2.3Das Migrationsamt verweist in diesem Zusammenhang auch auf die vom SEM verfügte Einreisesperre vom 7. August 2020 und unterstellt A____ in Übereinstimmung mit der dortigen Begründung, er habe seit seiner Einreise in die Schweiz wegen diverser Vergehen von der Polizei angehalten werden müssen. Vollständigkeitshalber sei deshalb darauf hingewiesen, dass diese Aussage aktenwidrig ist. Die Polizei musste sich gemäss den in den Akten befindlichen Rapporten vorwiegend deshalb mit A____ auseinandersetzen, weil dieser aufgrund von Trunkenheit ein öffentliches Ärgernis darstellte. Verurteilt wurde A____ mit Strafbefehl vom 26. August 2020, soweit es die Zeit vor dem 7. August 2020 betrifft, ausschliesslich wegen Übertretungen. Inwieweit das Einreiseverbot einer Überprüfung auf Willkür standhalten würde, kann an dieser Stelle allerdings unbeantwortet bleiben.</w:t>
      </w:r>
    </w:p>
    <w:p>
      <w:r>
        <w:rPr>
          <w:b/>
        </w:rPr>
        <w:t>E. 3</w:t>
      </w:r>
    </w:p>
    <w:p>
      <w:r>
        <w:t>3.1Nach den gesetzlichen Vorschriften kann eine ausländische Person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sie in Haft genommen werden, wenn konkrete Anzeichen befürchten lassen, dass sie sich der Ausschaffung entziehen will, insbesondere, weil sie ihren Mitwirkungspflichten nicht nachkommt (Art. 76 Abs. 1 lit. b Ziff. 3 AIG). Dasselbe gilt, wenn ihr bisheriges Verhalten darauf schliessen lässt, dass sie sich behördlichen Anordnungen widersetzt (Art. 76 Abs. 1 lit. b Ziff. 4 AIG). Die vorerwähnten Varianten von Art. 76 Abs. 1 lit. b Ziff. 3 und 4 AIG werden in der Praxis zum Haftgrund der "Untertauchensgefahr" zusammengefasst (vgl. Urteil 2C_871/2012 vom 28. Januar 2013 E. 4.1, mit Hinweisen). Eine solche Gefahr wird in der Praxis regelmässig bejaht, wenn die weggewiesene Person bereits einmal untergetaucht ist, wenn sie durch erkennbar unglaubwürdige und widersprüchliche Angaben die Vollzugsbemühungen zu erschweren versucht oder wenn sie sonst klar zu erkennen gibt, dass sie nicht bereit ist, in ihre Heimat zurückzukehren (BGE 130 II 56 E. 3.1 S. 58 f.).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ausländischen Person doch eher als bei einer unbescholtenen davon auszugehen, sie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(vgl.Hugi Yar, Zwangsmassnahmen im Ausländerrecht, in: Ausländerrecht, Uebersax et al. [Hrsg.], 2. Auflage 2009, Rz. 10.94; Entscheid des Verwaltungsgerichts ZH VB.2014.00104 E. 4.3).</w:t>
      </w:r>
    </w:p>
    <w:p>
      <w:r>
        <w:t>Die Ausschaffungshaft setzt nicht voraus, dass der betroffenen ausländischen Person eine Ausreisfrist gesetzt wurde und sie bereits Gelegenheit zur selbständigen Ausreise hatte, da sie im Falle des Bestehens einer Untertauchensgefahr eine solche Frist zum Untertauchen nutzen könnte (Businger, Ausländerrechtliche Haft, in: Zürcher Studien zum öffentlichen Recht, Zürich/Basel/Genf 2015, S. 98).</w:t>
      </w:r>
    </w:p>
    <w:p>
      <w:r>
        <w:t>3.2Das Migrationsamt begründet die angeordnete Haft mit dem Verstoss gegen das ausgesprochene Einreiseverbot und dem Umstand, dass A____ sich im Falle seiner Freilassung nicht freiwillig in seine Heimat begeben wird.</w:t>
      </w:r>
    </w:p>
    <w:p>
      <w:r>
        <w:t>Ein Verstoss gegen das Einreiseverbot liegt nicht vor, da A____ seit dessen Eröffnung am 7. August 2020 die Schweiz noch gar nicht verlassen hat (Zünd, in Spescha et al [Hrsg.], Kommentar Migrationsrecht, 5. Auflage 2019, Art. 75 AIG N 7).</w:t>
      </w:r>
    </w:p>
    <w:p>
      <w:r>
        <w:t>Hingegen ist mit dem Migrationsamt davon auszugehen, dass A____ die Schweiz nicht selbständig und freiwillig verlassen wird. Es wurden ihm bereits zweimal je ein Rail-Check für die Rückreise nach Bukarest vom Migrationsamt übergeben. Er hat es aber auch nach der Wegweisung vom 7. August 2020 unterlassen, den ausgehändigten Check einzulösen und die Rückreise anzutreten. A____ ist mittel- und obdachlos ist und konsumiert gemäss eigenen Angaben sowie entsprechend den Polizeirapporten sehr viel Alkohol. Inwiefern er aufgrund seiner wahrscheinlichen Alkoholkrankheit überhaupt in der Lage ist, selbständig seine Rückreise zu organisieren und anzutreten, ist äussert fraglich. In Freiheit gelassen wird er mit grosser Wahrscheinlichkeit weiterhin in der Schweiz auf der Strasse leben. Es ist nicht davon auszugehen, dass er sich dabei an behördliche Anordnungen halten wird, insbesondere ist nicht davon auszugehen, dass er Vorladungen des Migrationsamts wahrnimmt. Da er auf der Strasse lebt, ist er für die Behörden nicht ohne Weiteres auffindbar, was den Vollzug der Wegweisung erheblich gefährdet. Aus diesem Grund rechtfertigt sich die Anordnung von Ausschaffungshaft.</w:t>
      </w:r>
    </w:p>
    <w:p>
      <w:r>
        <w:t>3.3A____ gibt an, Gliederschmerzen zu haben und sich nicht gut zu fühlen. Er wurde an der Verhandlung darauf hingewiesen, dass er sich intramural an den ärztlichen Dienst wenden kann. Auch wurde er darauf hingewiesen, dass er sich bei allfälligen Entzugssymptomen an den ärztlichen Dienst wenden soll. Von einer Hafterstehungsfähigkeit ist zurzeit indessen auszugehen, zumal die von A____ geschilderten Symptome im Gefängnis behandelt werden können. Der ärztliche Dienst ist aber anzuweisen, A____ nochmals zu visitieren.</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Die Ausschaffungshaft muss sich insgesamt als Verhältnismässig erweisen.</w:t>
      </w:r>
    </w:p>
    <w:p>
      <w:r>
        <w:t>4.2Die Öffentlichkeit hat ein Interesse am Vollzug der Wegweisung des A____, da dieser immer wieder Anlass zu öffentlichem Ärgernis gibt und hohe Kosten verursacht, insbesondere durch die Beanspruchung des Gesundheitswesens der Schweiz. Demgegenüber hat A____ keinen ersichtlichen Bezug zur Schweiz. Das Migrationsamt hat die Haft für die Dauer eines Monats angeordnet. Da A____ über keine gültigen Papiere verfügt, ist vor der Organisation des Rückflugs eine Laisser-Passer bei den rumänischen Behörden zu organisieren. Flüge nach Rumänien finden trotz der aktuellen Pandemiesituation statt. Gemäss Angaben des SEM sind Flüge ab Zürich z.B. am 7., 13. und 18. September 2020 möglich. Die Annahme, dass die Organisation der Rückkehr ca. einen Monat in Anspruch nimmt, ist damit nicht zu beanstanden. Mildere Massnahmen, wie insbesondere eine Meldepflicht oder die Eingrenzung auf ein bestimmtes Gebiet, sind aufgrund des unkooperativen Verhaltens des A____ nicht zielführend. Die Haft sowie deren Dauer sind damit verhältnismässig</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26. August 2020 bis zum 25. September 2020 rechtmässig und angemessen.</w:t>
      </w:r>
    </w:p>
    <w:p>
      <w:r>
        <w:t>A____ ist zur Diagnose und Behandlung der an der Verhandlung geschilderten Symptome dem ärztlichen Dienst zuzuführen.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