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AUS.2020.18 vom 9. März 2020</w:t>
      </w:r>
    </w:p>
    <w:p>
      <w:r>
        <w:t>BS Appellationsgericht, 2020-03-09, DE</w:t>
      </w:r>
    </w:p>
    <w:p>
      <w:r>
        <w:rPr>
          <w:b/>
        </w:rPr>
        <w:t xml:space="preserve">Quelle: </w:t>
      </w:r>
      <w:r>
        <w:t>https://mcp.opencaselaw.ch/entscheid/bs_appellationsgericht_AUS.2020.18</w:t>
      </w:r>
    </w:p>
    <w:p>
      <w:r>
        <w:t>FR: BS_APPELLATIONSGERICHT AUS.2020.18 du 9 mars 2020</w:t>
      </w:r>
    </w:p>
    <w:p>
      <w:r>
        <w:t>IT: BS_APPELLATIONSGERICHT AUS.2020.18 del 9 marzo 2020</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wenn sie Personen ernsthaft bedroht oder an Leib und Leben erheblich gefährdet und deshalb strafrechtlich verfolgt wird oder verurteilt worden ist, oder wenn eine Person wegen eines Verbrechens verurteilt worden ist (Art. 76 Abs. 1 lit. b Ziff. 1 i.V.m. Art. 75 Abs. 1 lit. g und h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2</w:t>
      </w:r>
    </w:p>
    <w:p>
      <w:r>
        <w:t>2.1Der Landesverweis wurde dem Beurteilten wie eingangs beschrieben mit dem Urteil des Appellationsgerichts vom 12. September 2018 eröffnet, und der Beurteilte wurde bereits am 12. September 2017 aus der Schweiz und dem Schengenraum weggewiesen, was ihm ebenfalls eröffnet wurde. Auch das Familiennachzugsgesuch wurde zwischenzeitlich abgewiesen. All dies ist rechtskräftig. Diese Voraussetzung für die Haftanordnung ist gegeben.</w:t>
      </w:r>
    </w:p>
    <w:p>
      <w:r>
        <w:t>Der Haftrichter ist grundsätzlich nicht befugt, den Wegweisungsentscheid auf seine Rechtmässigkeit hin zu überprüfen; dafür ist vielmehr das entsprechende Rechtsmittelverfahren geeignet, welches vorliegend allerdings erfolglos ausgeschöpft ist. Praxisgemäss ist der Haftrichter aber an einen Wegweisungsentscheid nicht gebunden, sofern sich dieser als geradezu unhaltbar erweist. Dies ist vorliegend nicht der Fall. Wohl verfügt der Beurteilte über familiäre Bande zur Schweiz, die Ehefrau ist ebenso wie die Tochter Schweizerin. Mit der familiären Situation des Beurteilten hat sich indessen bereits das Appellationsgericht im Urteil SB.2017.106 vom 12. September 2018 Ziff. 4 ausführlich auseinandergesetzt, insbesondere auch zu den persönlichen Banden des Beurteilten zum Kind und zur Ehefrau sowie zur konfliktgeladenen Beziehung zwischen den Ehegatten, welche zur Fremdplatzierung des Kindes geführt hat und welche zur Verurteilung u.a. wegen versuchter Körperverletzung zu 18 Monaten Freiheitsstrafe und zu 5-jähriger Landesverweisung geführt hat. Das Appellationsgericht hat dabei die gesamte persönliche und insbesondere auch die familiäre Situation des Beurteilten beleuchtet und insgesamt geschlossen, dass das öffentliche Interesse an der Landesverweisung klar die privaten Interessen des Beurteilten überwiegt. Dies erscheint keineswegs unhaltbar und darauf ist somit abzustellen. Ebensowenig unhaltbar erscheinen der Wegweisungsentscheid des Migrationsamtes vom 12. September 2017 sowie der entsprechende, sehr ausführlich begründete Rekursentscheid des JSD vom 6. Oktober 2017, welche Entscheide nebst der familiären Situation auf Art. 17 AIG abstellen, wonach es dem Beurteilten zuzumuten sei, den Ausgang des Familiennachzugsverfahrens im Ausland abzuwarten. Auch die Verfügung vom 25. Januar 2019 des Migrationsamtes betreffend Abweisung des Gesuchs um Familiennachzug greift die familiäre Situation eingehend auf, und die Behörde schliesst sich der Auffassung des Appellationsgerichts an, wonach das öffentliche Interesse an der Wegweisung die privaten Interessen des Beurteilten überwiegt. Auch diese migrationsbehördlichen Verfügungen und Entscheide sind keineswegs unhaltbar, und darauf ist abzustellen. Soweit sich seither allenfalls positive Entwicklungen ergeben haben sollten  dafür gibt es immerhin den Bericht der D____ vom heutigen 9. März 2020, während die Schreiben des KESB vom 19. Juli 2018 bzw. die Begründung der Entscheide weniger geeignet sind, da sie von vorgängig der erwähnten Verfügungen bzw. Landeswerweis bzw. Familiennachzug datieren , wären diese nötigenfalls im materiellen Verfahren mit einem Wiedererwägungs- oder Revisionsgesuch geltend zu machen, einschliesslich des nachfolgenden Rechtswegs (BGer 2C_1083/2019 vom 17. Januar 2020 E. 2.3.1).</w:t>
      </w:r>
    </w:p>
    <w:p>
      <w:r>
        <w:t>Dass im Übrigen die Landesverweisung die frühere Wegweisung aus der Schweiz und dem Schengenraum aufheben würde und der Beurteilte daher einzig die Schweiz verlassen müsste, nicht aber den Schengenraum, wie der Rechtsvertreter beliebt machen möchte, kann soweit nicht nachvollzogen werden, denn weder dies noch jenes wurde bis anhin vollzogen. Der Frage kommt aber insofern beschränkte Bedeutung zu, als der Beurteilte weder über einen Pass verfügt noch über ein Visum für den Schengenraum und daher seine geordnete Ausreise in ein näheres Reiseziel als Mali, also das grenznahe Ausland, nicht möglich ist.</w:t>
      </w:r>
    </w:p>
    <w:p>
      <w:r>
        <w:t>2.2Der Beurteilte wurde wegen versuchter schwerer Körperverletzung zum Nachteil der Ehefrau während der Ehe rechtskräftig verurteilt. Er hat damit im Sinne des AIG Personen ernsthaft bedroht oder an Leib und Leben erheblich gefährdet und wurde deshalb strafrechtlich verfolgt und verurteilt, und er ist wegen eines Verbrechens verurteilt worden (Art. 76 Abs. 1 lit. b Ziff. 1 i.V.m. Art. 75 Abs. 1 lit. g und h AIG). Diese beiden Haftgründe sind gegeben.</w:t>
      </w:r>
    </w:p>
    <w:p>
      <w:r>
        <w:t>2.3Auch wenn es keines weiteren Haftgrundes bedarf, so ist doch auch  wiederholt  jener der Missachtung einer Ausgrenzung im Sinne von Art. 76 Abs. 1 lit. b Abs. 1 i.Verb.m. Art. 75 Abs. 1 lit. b AIG gegeben.</w:t>
      </w:r>
    </w:p>
    <w:p>
      <w:r>
        <w:t>2.4Auch Untertauchensgefahr ist gegeben: Der Beurteilte hätte die Schweiz und den Schengenraum bis 9. Oktober 2017 verlassen müssen, er ist indessen illegal in der Schweiz verblieben; am 14. August 2018 wurde er in der Webergasse aufgegriffen und in den (zunächst vorläufigen) Strafvollzug versetzt. Er hat sich seit 2017 in keiner Weise um die Beschaffung von Reisepapieren bemüht, obwohl er von den Migrationsbehörden immer wieder darauf aufmerksam gemacht wurde (vgl. auch nachfolgend Ziff. 3.1). Offenbar hat er sich aber wiederholt in den Schengenraum (Belgien und Frankreich) illegal abgesetzt und ist somit schon mehrmals untergetaucht. Schliesslich stellt er sich ausdrücklich gegen den Wegweisungsvollzug nach Mali, so gegenüber dem Migrationsamt und auch anlässlich der heutigen Verhandlung.</w:t>
      </w:r>
    </w:p>
    <w:p>
      <w:r>
        <w:rPr>
          <w:b/>
        </w:rPr>
        <w:t>E. 3</w:t>
      </w:r>
    </w:p>
    <w:p>
      <w:r>
        <w:t>Das vorliegende Verfahren ist gemäss § 4 Abs. 1 des Gesetzes über den Vollzug der Zwangsmassnahmen im Ausländerrecht kostenlos. Der unentgeltliche Vertreter ist gemäss geltend gemachtem Aufwand zu entschädigen zuzüglich Verhandlung, somit für 5.6 Stunden.</w:t>
      </w:r>
    </w:p>
    <w:p>
      <w:r>
        <w:t>Demgemäss erkenntder Einzelrichter:</w:t>
      </w:r>
    </w:p>
    <w:p>
      <w:r>
        <w:t>://:        Die über A____ angeordnete Ausschaffungshaft ist bis 7. Juni 2020 rechtmässig.</w:t>
      </w:r>
    </w:p>
    <w:p>
      <w:r>
        <w:t>Es werden keine Kosten erhoben.</w:t>
      </w:r>
    </w:p>
    <w:p>
      <w:r>
        <w:t>A____ wird für das vorliegende Verfahren die unentgeltliche Verbeiständung mit [...], bewilligt und diesem ein Honorar von CHF 1'120. und Auslagenersatz von CHF 65., zuzüglich 7,7 % Mehrwertsteuer von Honorar und Auslagen zu CHF 91.25 somit total CHF 1'276.25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