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AUS.2019.92 vom 14. November 2017</w:t>
      </w:r>
    </w:p>
    <w:p>
      <w:r>
        <w:t>BS Appellationsgericht, 2017-11-14, DE</w:t>
      </w:r>
    </w:p>
    <w:p>
      <w:r>
        <w:rPr>
          <w:b/>
        </w:rPr>
        <w:t xml:space="preserve">Quelle: </w:t>
      </w:r>
      <w:r>
        <w:t>https://mcp.opencaselaw.ch/entscheid/bs_appellationsgericht_AUS.2019.92</w:t>
      </w:r>
    </w:p>
    <w:p>
      <w:r>
        <w:t>FR: BS_APPELLATIONSGERICHT AUS.2019.92 du 14 novembre 2017</w:t>
      </w:r>
    </w:p>
    <w:p>
      <w:r>
        <w:t>IT: BS_APPELLATIONSGERICHT AUS.2019.92 del 14 novembre 2017</w:t>
      </w:r>
    </w:p>
    <w:p>
      <w:pPr>
        <w:pStyle w:val="Heading2"/>
      </w:pPr>
      <w:r>
        <w:t>Erwägungen</w:t>
      </w:r>
    </w:p>
    <w:p>
      <w:r>
        <w:rPr>
          <w:b/>
        </w:rPr>
        <w:t>E. 1</w:t>
      </w:r>
    </w:p>
    <w:p>
      <w:r>
        <w:t>Gemäss Art. 76 AIG ist die grundlegende Voraussetzung für die Anordnung von Ausschaffungshaft die Eröffnung eines erstinstanzlichen Weg- oder Ausweisungsentscheids odereiner erstinstanzlichen Landesverweisung nach Artikel 66aoder 66abisStGB oder Artikel 49aoder 49abisMStG.</w:t>
      </w:r>
    </w:p>
    <w:p>
      <w:r>
        <w:t>1.1Das Migrationsamt stützt die Haft auf die im Asylentscheid vom 14. November 2017 enthaltene Wegweisungsverfügung. Wie eingangs dargestellt, ist der Beurteilte nach Eröffnung des negativen Asylentscheids umgehend ausgereist. Er hat in Holland und Deutschland weitere Asylgesuche gestellt und sich geraume Zeit im Ausland aufgehalten.</w:t>
      </w:r>
    </w:p>
    <w:p>
      <w:r>
        <w:t>1.2Die Wegweisung im Asylentscheid ist eine reine Vollstreckungsverfügung. Mit der Ausreise des Betroffenen verliert die Wegweisung als reine Entfernungsmassnahme ihre Gültigkeit; soll eine erneute Einreise verhindert werden, ist sie mit einem Einreiseverbot zu kombinieren (Martin Businger,Ausländerrechtliche Haft, Diss. Zürich 2015, S. 7f.). Die Wegweisung als reine Entfernungsmassnahme gilt grundsätzlich mit der Ausreise des Ausländers als vollzogen und fällt dahin. Aus diesem Grund muss ein Ausländer nach seiner Wiedereinreise erneut weggewiesen werden, bevor er in Ausschaffungshaft genommen werden kann (Businger, a.a.O, S. 100).</w:t>
      </w:r>
    </w:p>
    <w:p>
      <w:r>
        <w:t>Allerdings hat das Bundesgericht in einem Fall, in dem der Beurteilte im Asylverfahren rechtskräftig weggewiesen worden war und sich wiederholt geweigert hat, in seine Heimat zurückzukehren, festgehalten: Zwar hat er die Schweiz verlassen und sich in der Folge in Finnland aufgehalten, doch wurde seine Wegweisung in die Heimat damit nicht vollzogen, da die Schweiz nach den dublinrechtlichen Grundlagen gehalten war, ihn für die Durchsetzung des entsprechenden Entscheids von den anderen Dublinstaaten jeweils wieder zurückzunehmen (BGer 2C_689/2014 vom 25. August 2014 E. 2.2, bestätigt durch BGer 2C_104/2017 vom 6. März 2017 E. 5.2).</w:t>
      </w:r>
    </w:p>
    <w:p>
      <w:r>
        <w:t>1.3Vorliegend wurde der Beurteilte zwei Mal im Dublin Verfahren von der Schweiz rückübernommen  einmal aus Frankreich und einmal aus Deutschland  und bleibt zu solchem Vorgehen solange verpflichtet, als der Beurteilte nicht in seine Heimat ausgereist ist. Somit ist die zitierte bundesgerichtliche Rechtsprechung anwendbar und die im Asylentscheid vom 14. November 2017 enthaltene Wegweisungsverfügung entgegen dem Wortlaut (Sie werden aus der Schweiz weggewiesen) und der Tatsache, dass der Beurteilte tatsächlich die Schweiz verlassen hatte, somit also im Sinne einer Fiktion, als nicht vollzogen zu betrachten und als Grundlage für die Haft heranzuziehen.</w:t>
      </w:r>
    </w:p>
    <w:p>
      <w:r>
        <w:t>1.4Anzumerken ist dennoch, dass die Formulierung im Asylentscheid unbefriedigend ist. Dort heisst es zunächst auf dem Deckblatt: [] Sie sind verpflichtet, die Schweiz zu verlassen. [] Falls Sie nicht freiwillig aus der Schweiz ausreisen, können Sie in Haft genommen und anschliessend unter Zwang in Ihren Heimatstaat zurückgeführt werden. Auf Seite 4 heisst es im Dispositiv: [] 2. Sie werden aus der Schweiz weggewiesen. 3. Sie müssen die Schweiz am Tag nach Eintritt der Rechtskraft dieser Verfügung verlassen, ansonsten können Sie in Haft genommen und unter Zwang in Ihren Heimatstaat zurückgeführt werden. []</w:t>
      </w:r>
    </w:p>
    <w:p>
      <w:r>
        <w:t>Dem objektiven Leser erschliesst sich aus diesen Zeilen zunächst einzig, dass die betroffene Person die Schweiz verlassen muss. Weder wird gesagt, wohin (z.B. in seine Heimat, nach Algerien), wie es in anderen Fällen auch möglich und gar üblich ist (z.B. in BGE 140 II 74: Ungarn), noch wird gesagt, dass nicht nur die Schweiz, sondern der ganze Schengenraum verlassen werden muss, was ebenfalls möglich wäre (Caroni/Gächter/Thurnherr,Kommentar AuG, Bern 2010, Art. 64 N 9). Erst bei Nichtbefolgung der Anweisung, dieSchweiz(nicht den Schengenraum) zuverlassen(egal wohin), wird Haft und erst hier die zwangsweise Rückführungin den Heimatstaatangedroht. Die Formulierung im Asylentscheid ist unbefriedigend, insbesondere auch aus der Perspektive der betroffenen Person.</w:t>
      </w:r>
    </w:p>
    <w:p>
      <w:r>
        <w:rPr>
          <w:b/>
        </w:rPr>
        <w:t>E. 2</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3</w:t>
      </w:r>
    </w:p>
    <w:p>
      <w:r>
        <w:t>Wie eingangs dargestellt, hält sich der Beurteilte nicht an Anweisungen der Behörden, etwa die regelmässige Meldepflicht. Gegen ihn wurden und werden strafrechtliche Verfahren geführt. Trotz wiederholter Aufforderungen des Migrationsamtes hat er nichts für die Papierbeschaffung unternommen und damit die Mitwirkungspflicht verletzt. Nach dem negativen Asylentscheid hält er sich nunmehr zwei Jahre illegal im Schengenraum auf. Auch in der jüngsten Befragung durch das Migrationsamt vom 5. Dezember 2019 hat der Beurteilte sich geweigert, seinen Reisepass beibringen zu lassen, und er hat seine Rückkehr nach Algerien von einer Rückkehrhilfe im Betrag von CHF 100000. abhängig gemacht. Auch hat er sich verschiedener Identitäten bedient. Untertauchensgefahr ist somit gegeben. Daran ändert nichts, dass der Beurteilte sich heute bereit erklärt, nach Algerien zurückzukehren, denn die Bereitschaft ist offenbar unter dem Eindruck der Haft entstanden.</w:t>
      </w:r>
    </w:p>
    <w:p>
      <w:r>
        <w:rPr>
          <w:b/>
        </w:rPr>
        <w:t>E. 4</w:t>
      </w:r>
    </w:p>
    <w:p>
      <w:r>
        <w:t>Die Zusage der Algerischen Behörden für ein Laissez-Passer liegt vor. Der Wegweisungsvollzug nach Algerien ist möglich und zumutbar, zumal seine Familie dort lebt. Das Beschleunigungsgebot ist gewahrt. Ein milderes Mittel als die Haft ist zur Sicherstellung des Wegweisungsvollzugs angesichts des langjährigen illegalen Aufenthalts des Beurteilten in Schengenraum nicht ersichtlich, zumal der Beurteilte aus wirtschaftlichen Gründen ein Interesse hat, im Schengenraum zu verbleiben, zumal er seinen Angaben zufolge in Frankreich und Italien Verwandte hat und zumal er auch in der Schweiz bereits seine Melde- und Mitwirkungspflichten verletzt hat. Positiv ist seine nun zutage getretene Bereitschaft, nach Algerien zu gehen. So wird die Wegweisung umgehend vollzogen werden können. Die angeordnete Haft von drei Monaten ist nach dem Gesagten recht- und verhältnismässig und zu bestätigen.</w:t>
      </w:r>
    </w:p>
    <w:p>
      <w:r>
        <w:t>Demgemäss erkenntder Einzelrichter:</w:t>
      </w:r>
    </w:p>
    <w:p>
      <w:r>
        <w:t>://:        Die über A____ angeordnete Ausschaffungshaft ist bis 3. März 2020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