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AUS.2019.91 vom 27. April 2017</w:t>
      </w:r>
    </w:p>
    <w:p>
      <w:r>
        <w:t>BS Appellationsgericht, 2017-04-27, DE</w:t>
      </w:r>
    </w:p>
    <w:p>
      <w:r>
        <w:rPr>
          <w:b/>
        </w:rPr>
        <w:t xml:space="preserve">Quelle: </w:t>
      </w:r>
      <w:r>
        <w:t>https://mcp.opencaselaw.ch/entscheid/bs_appellationsgericht_AUS.2019.91</w:t>
      </w:r>
    </w:p>
    <w:p>
      <w:r>
        <w:t>FR: BS_APPELLATIONSGERICHT AUS.2019.91 du 27 avril 2017</w:t>
      </w:r>
    </w:p>
    <w:p>
      <w:r>
        <w:t>IT: BS_APPELLATIONSGERICHT AUS.2019.91 del 27 aprile 2017</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A____ hat darum ersucht, für die vorliegende gerichtliche Haftüberprüfung von [...], Advokat, vertreten zu werden. [...] hat A____ als amtlicher Verteidiger im Strafverfahren, welches mit Strafurteil vom 11. Juni 2019 beendet wurde, vertreten. Die Einzelrichterin hat den Advokaten heute Morgen über die gewünschte Vertretung informiert. Advokat [...] ist ferienabwesend und sein Vertreter hat sich aufgrund der Kurzfristigkeit bzw. anderweitiger Verpflichtungen nicht in der Lage gesehen, die Vertretung anzunehmen. Hierzu ist auszuführen, dass A____ schon lange bekannt ist, dass er nach Beendigung des Strafvollzugs die Schweiz wird verlassen müssen und er es selbst unterlassen hat, den von ihm zur Vertretung gewünschten Rechtsanwalt rechtzeitig zu kontaktieren. Für die erstmalige Anordnung der Ausschaffungshaft besteht ausserdem in der Regel kein Anspruch auf eine vom Staat bezahlte Rechtsvertretung. Die Anordnung der Haft erweist sich ausserdem als offensichtlich rechtmässig und angemessen (s. unten E. 4.3). Es besteht damit kein Anlass, von Amtes wegen eine rechtliche Vertretung für die heutige Verhandlung zu organisieren, was ohnehin zeitlich kaum möglich sein dürfte. Dies auch vor dem Hintergrund, dass die Rückweisung nach Italien bereits am Dienstag, 10. Dezember 2019, stattfinden soll.</w:t>
      </w:r>
    </w:p>
    <w:p>
      <w:r>
        <w:rPr>
          <w:b/>
        </w:rPr>
        <w:t>E. 2.1</w:t>
      </w:r>
    </w:p>
    <w:p>
      <w:r>
        <w:t>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4.2Das Migrationsamt begründet die angeordnete Ausschaffungshaft mit den Haftgründen gemäss Art. 76 Abs. 1 lit. b Ziff. 3 und 4 AIG (Untertauchensgefahr), Art. 76 Abs. 1 lit. b Ziff. 1 i.V.m. 75 Abs. 1 lit. c AIG (Verstoss gegen ein Einreiseverbot) und Art. 76 Abs. 1 lit. b Ziff. 1 i.V.m 75 Abs. 1 lit. g AIG (Bedrohung oder erhebliche Gefährdung von Personen und deswegen strafrechtliche Verfolgung oder Verurteilung).</w:t>
      </w:r>
    </w:p>
    <w:p>
      <w:r>
        <w:t>4.3Mit Entscheid des Staatssekretariats für Migration (SEM, vormals Bundesamt für Migration [BFM]) vom 24. Februar 2010 wurde der (erste) Asylantrag des A____ abgelehnt und dieser aus der Schweiz weggewiesen. Das Asylgesuch reichte dieser damals unter der Aliasidentität [...], geboren am [...], ein. Aus den Akten ergibt sich, dass A____ unter zwei weiteren Aliasnamen vermerkt. ist. Aus dem negativen Asylentscheid ergeht, dass A____ mit falschen Angaben zu seiner Herkunft und Lebensgeschichte versucht hat, einen asylrechtlichen Aufenthalt in der Schweiz zu erwirken. Seit dem Jahr 2016 ist A____ insgesamt sechsmal in der Schweiz strafrechtlich verurteilt worden. Als er letztmals die Schweiz im Sommer 2017 hätte verlassen müssen, wurde die angeordnete Ausschaffungshaft mit Urteil der Einzelrichterin vom 26. Juli 2017 (VGE AUS.2017.56) als unzulässig erachtet, da A____ glaubhaft machen konnte, er werde sich in Basel bis zum Vollzug der Wegweisung bei seinem Partner aufhalten, mit welchem die Eintragung der Partnerschaft aktiv angestrebt sei, und alle Termine von dort aus wahrnehmen. Trotzdem leistete er den Vorspracheterminen beim Migrationsamt wie auch der Vorladung zum damalig vorgesehenen Strafantritt im Nachgang seiner Haftentlassung keine Folge und musste deshalb am 25. März 2018 polizeilich vorgeführt werden. Nach Entlassung aus dem Strafvollzug konnte er sodann im September 2018 nach Italien ausgeschafft werden. Mit Strafurteil vom 16. April 2019 wurde er unter anderem des Verweisungsbruchs schuldig erklärt, nachdem er am 20. März 2019 von Italien her kommend wieder in die Schweiz einreiste. Damit dass er nicht gewusst haben will, mit Strafgerichtsurteil vom 27. April 2017 für fünf Jahre des Landes verwiesen worden zu sein, ist er nicht zu hören, da ihm die Information betreffend den Landesverweis nachweislich übersetzt wurde und er dies unterschriftlich am 21. August 2018 bestätigt hat. Vor diesem Hintergrund ist erstellt, dass A____ sich im Falle seiner Freilassung nicht an die behördlichen Anweisungen halten wird und die grosse Gefahr besteht, dass er für die Behörden am Dienstag, 10. Dezember 2019, nicht zur Verfügung steht, um die Rückführung nach Italien zu vollziehen (s. unten E. 5.2). Er hat in der Vergangenheit die Behörden über seine Identität und seine Absichten getäuscht, er ist straffällig geworden und hat die erteilte Landesverweisung nicht respektiert. Der Haftgrund der Untertauchensgefahr sowie derjenige des Verstosses gegen ein Einreiseverbot, der auch bei einer Einreise trotz bestehendem Landesverweis zu bejahten ist (vgl. BGer 2C_655/2019 vom 26. Juli 2019 E. 2.3.2), sind, wie vom Migrationsamt angeführt, je gegeben. Daran ändert auch nichts, dass er angeblich (wieder) mit seinem Partner zusammen sein und die eingetragene Partnerschaft eintragen lassen will. Dies hat er, wie dargelegt, bereits im Jahr 2017 ausgesagt und bislang noch nicht umgesetzt. Ausserdem steht dem erhofften Familiennachzug zu seinem Partner die Landesverweisung entgegen. Dies ist dem Ausländer wohl bewusst. Allein deshalb vermag diese angebliche Planung, die Untertauchensgefahr nicht zu vermindern. Zusätzlich besteht auch der Haftgrund der Verurteilung wegen eines Verbrechens gemäss Art. 76 Abs. 1 lit. b Ziff. 1 i.V.m. Art. 75 Abs. 1 lit. h AIG. Angesichts dieser Fülle von Haftgründen bedarf es keiner Prüfung des vom Migrationsamt ebenfalls aufgeführten Haftgrundes gemäss Art. 76 Abs. 1 lit. b Ziff. 1 i.V.m. Art. 75 Abs. 1 lit. g AIG.</w:t>
      </w:r>
    </w:p>
    <w:p>
      <w:r>
        <w:rPr>
          <w:b/>
        </w:rPr>
        <w:t>E. 3</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ist mit Urteil des Strafgerichts vom 11. Juni 2019 für 8 Jahre des Landes verwiesen worden. Dieses Urteil ist in Rechtskraft erwachsen.</w:t>
      </w:r>
    </w:p>
    <w:p>
      <w:r>
        <w:rPr>
          <w:b/>
        </w:rPr>
        <w:t>E. 4</w:t>
      </w:r>
    </w:p>
    <w:p>
      <w:r>
        <w:t>4.1Nach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w:t>
      </w:r>
    </w:p>
    <w:p>
      <w:r>
        <w:rPr>
          <w:b/>
        </w:rPr>
        <w:t>E. 5</w:t>
      </w:r>
    </w:p>
    <w:p>
      <w:r>
        <w:t>5.1Die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5.2Das Migrationsamt hat sich bereits vor Erlass der Verfügung der frühzeitigen Entlassung aus dem Strafvollzug um die Rückübernahme des A____ durch die italienischen Behörden bemüht. Schliesslich haben die italienischen Behörden der Rückübernahme nun mit Verfügung vom 22. November 2019 zugestimmt und diese ist für den 10. Dezember 2019 vorgesehen und organisiert. Die schweizerischen Behörden sind damit dem Beschleunigungsgebot nachgekommen. Aufgrund des grossen öffentlichen Interesses der Schweizer Bevölkerung am Vollzug der Landesverweisung des in der Schweiz mehrfach vorbestraften Ausländers erweist sich die kurze Inhaftnahme auch ohne weiteres als verhältnismässig. Eine mildere Massnahme, welche die Rücküberführung sicherstellen könnte, ist vor dem Hintergrund des renitenten Verhaltens des A____ nicht ersichtlich. Insbesondere kann nicht davon ausgegangen werden, dass er sich an eine verfügte Eingrenzung halten würde und selbständig pünktlich zum Rückführungstermin erscheinen würde. Es rechtfertigt sich die Haftanordnung bis zum 13. Dezember 2019. Sollte es unerwartet zu einer Verzögerung der Rücküberstellung kommen, könnte mit dieser um drei Tage über das Rückreisedatum hinaus verfügten Haft eine allfällige Haftverlängerung rechtzeitig verfügt und wiederum gerichtlich überprüft werden.</w:t>
      </w:r>
    </w:p>
    <w:p>
      <w:r>
        <w:rPr>
          <w:b/>
        </w:rPr>
        <w:t>E. 6</w:t>
      </w:r>
    </w:p>
    <w:p>
      <w:r>
        <w:t>Es werden keine Kosten erhoben (§ 4 Gesetz über den Vollzug der Zwangsmassnahmen im Ausländerrecht, SG 122.300).</w:t>
      </w:r>
    </w:p>
    <w:p>
      <w:r>
        <w:t>Demgemäss erkenntdie Einzelrichterin:</w:t>
      </w:r>
    </w:p>
    <w:p>
      <w:r>
        <w:t>://:        Die über A____ angeordnete Ausschaffungshaft ist vom 2. Dezember bis zum 13. Dezember 2019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