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AUS.2019.8 vom 4. Februar 2019</w:t>
      </w:r>
    </w:p>
    <w:p>
      <w:r>
        <w:t>BS Appellationsgericht, 2019-02-04, DE</w:t>
      </w:r>
    </w:p>
    <w:p>
      <w:r>
        <w:rPr>
          <w:b/>
        </w:rPr>
        <w:t xml:space="preserve">Quelle: </w:t>
      </w:r>
      <w:r>
        <w:t>https://mcp.opencaselaw.ch/entscheid/bs_appellationsgericht_AUS.2019.8</w:t>
      </w:r>
    </w:p>
    <w:p>
      <w:r>
        <w:t>FR: BS_APPELLATIONSGERICHT AUS.2019.8 du 4 février 2019</w:t>
      </w:r>
    </w:p>
    <w:p>
      <w:r>
        <w:t>IT: BS_APPELLATIONSGERICHT AUS.2019.8 del 4 febbraio 2019</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Dem Beurteilten ist die bedingte Entlassung aus dem Strafvollzug per 1. Februar 2019 gewährt worden. Seit dem 2. Februar 2019 ist die Haft ausländerrechtlich begründet. Mit der am 4. Februar 2019 durchgeführten Verhandlung mit anschliessender Eröffnung des Entscheids ist die in Art. 80 Abs. 2 AIG genannte Frist von 96 Stunden ohne weiteres eingehalten.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a, b, c, f, g oder h AIG vorliegen, so etwa wenn der Ausländer Personen ernsthaft bedroht oder an Leib und Leben erheblich gefährdet und deshalb strafrechtlich verfolgt wird oder verurteilt worden ist (lit. g) oder wenn er wegen eines Verbrechens verurteilt worden ist (lit. h). Der Beurteilte ist am 29. Januar 2018 u.a. wegen Verbrechens nach Art. 19 Abs. 2 Bst. a und b des Betäubungsmittelgesetzes (grosse Gesundheitsgefährdung und Bandenbegehung) und Geldwäscherei verurteilt worden. Damit erfüllt er gleich beide genannten Haftgründe. Ausserdem kann ein Ausländer in Haft genommen werden, wenn konkrete Anzeichen befürchten lassen, dass er sich der Ausschaffung entziehen will, insbesondere weil er besonderen Mitwirkungspflichten nicht nachkommt (Art. 76 Abs. 1 lit. b Ziff. 3 AIG),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w:t>
      </w:r>
    </w:p>
    <w:p>
      <w:r>
        <w:rPr>
          <w:b/>
        </w:rPr>
        <w:t>E. 2.1</w:t>
      </w:r>
    </w:p>
    <w:p>
      <w:r>
        <w:t>S. 243; 125 II 369 E. 3 b/aa S. 375). Im vorliegenden Fall hat der Beurteilte den für ihn zum Strafende gebuchten Flug in die Heimat verweigert, was für sich alleine schon ein hohes Indiz für das Vorliegen von Untertauchensgefahr bildet. Überdies hat er auf der ihm am 28. Januar 2019 ausgehändigten schriftlichen Mitteilung des Migrationsamtes, wonach Spanien seine Rückübernahme abgelehnt habe, weshalb er nach Nigeria ausgeschafft werde, die Unterschrift verweigert mit dem Hinweis, er wolle nach Spanien zurück und nicht nach Nigeria. Auch das Vorliegen von Untertauchensgefahr ist damit gegeben. Hingegen kann ihm nicht vorgeworfen werden, er habe das ihm auferlegte Einreiseverbot missachtet. Dieses hat zwar am 1. Februar 2019 zu laufen begonnen, doch hat der Beurteilte die Schweiz an jenem Tag nicht verlassen, weshalb es auch nicht zu einer Einreise gekommen ist.</w:t>
      </w:r>
    </w:p>
    <w:p>
      <w:r>
        <w:rPr>
          <w:b/>
        </w:rPr>
        <w:t>E. 3</w:t>
      </w:r>
    </w:p>
    <w:p>
      <w:r>
        <w:t>3.1A____ hat den Rückflug in die Heimat verweigert mit der Begründung, er habe vor kurzem einen operativen Eingriff erlitten, der eine Nachbehandlung in drei Monaten erfordere. Er wolle diese Behandlung hier in Europa erhalten, dies sei für ihn lebensnotwendig. Danach könne er nach Nigeria gehen. Diese Haltung hat er auch in der heutigen Verhandlung vertreten. Mit diesem Einwand beruft sich der Beurteilte sinngemäss darauf, dass er im Falle der Rückkehr in die Heimat einer unmenschlichen Behandlung im Sinne von Art. 3 der Konvention zum Schutze der Menschenrechte und Grundfreiheiten (EMRK, SR 0.101) ausgesetzt sei. Dazu ist festzuhalten, dass nach der Rechtsprechung des Bundesgerichts medizinische Gründe dann gegen eine Aufenthaltsbeendigung sprechen, wenn bei einer Rückkehr eine überlebensnotwendige Behandlung nicht erhältlich gemacht werden kann (medizinische Notlage) und die fehlende Möglichkeit der (Weiter-) Behandlung eine drastische und lebensbedrohende Verschlechterung des Gesundheitszustands nach sich ziehen würde. Es gelten jedoch relativ hohe Schwellen, da es nicht unmittelbar um Handlungen oder Unterlassungen staatlicher oder privater Akteure geht, sondern ein natürlicher Prozess (Krankheit) zu den entsprechenden Konsequenzen (Tod, Verschlechterung des Gesundheitszustands usw.) führt (vgl. zum Ganzen BGer 2C_401/2017 vom 26 März 2018 E. 5.5 mit weiteren Hinweisen).</w:t>
      </w:r>
    </w:p>
    <w:p>
      <w:r>
        <w:t>3.2Gemäss Operationsbericht des Inselspitals Bern vom 30. Oktober 2018 ist der Beurteilte am 29. Oktober 2018 wegen [] operiert worden. Am 13. Dezember 2018 erfolgten []. Als weiteres Procedere wurde im diesbezüglichen Operationsbericht festgehalten, dass die erste funktionelle Kontrolle [] in 3 Monaten und [] in 6 Monaten stattfinden sollten. Der Beurteilte benötigt somit, entgegen seiner eigenen Auffassung, zurzeit keine eigentliche Behandlung mehr; vielmehr erachten die Ärzte eine (Nach)kontrolle seines Gesundheitszustandes für erforderlich, aus welcher sich allerdings die Notwendigkeit einer weiteren Behandlung ergeben kann. Auf Anfrage des Migrationsamts hat die Sektion Analysen des SEM am 31. Januar 2019 in schriftlicher Form ein medizinisches Consulting zur Frage Nigeria: Nachbehandlung nach [] verfasst. Die Sektion Analysen kommt darin zum Schluss, dass die Fachgebiete [] in Nigeria etabliert seien. Das University of Ilorin Teaching Hospital beispielsweise verfüge über die Technik []. Laut MedCol (einem Projekt, finanziert durch den Europäischen Flüchtlingsfonds zur Erfassung medizinischer Informationen aus Herkunftsländern) gebe es in den meisten Spitälern der tertiären Stufe (Universitätsspitäler oder sogenannte Teaching Hospitals) die Fachbereiche []. In diesen Einrichtungen können die nötigen Kontrollen und auch allfällige weitere Behandlungen durchgeführt werden. Der Beurteilte hat in der heutigen Verhandlung auch erklärt, er komme von der Westküste von Nigeria. Zu den Spitälern, die im Bericht genannt würden, müsse er rund sieben Stunden reisen.  Da es sich nur um einzelne Besuche handelt, die notwendig sind, und nicht einen regelmässigen wöchentlichen oder gar täglichen Besuch, ist auch das zumutbar. Damit bestehen keine Anhaltspunkte dafür, dass A____ bei einer Rückführung nach Nigeria in eine medizinische Notlage geraten könnte. Es sprechen deshalb keine rechtlichen Gründe gegen den Vollzug der Wegweisung. Je nachdem, wie lange es dauert, bis dass die Wegweisung vollzogen werden kann, wird allerdings eine erneute Untersuchung des aktuellen Gesundheitszustandes notwendig sein. Das Migrationsamt hat dies im Auge zu behalten und gegebenenfalls die erforderlichen Massnahmen einzuleiten.</w:t>
      </w:r>
    </w:p>
    <w:p>
      <w:r>
        <w:rPr>
          <w:b/>
        </w:rPr>
        <w:t>E. 4</w:t>
      </w:r>
    </w:p>
    <w:p>
      <w:r>
        <w:t>Angesichts der schweren Straffälligkeit des Beurteilten und der mit seiner Delinquenz (Verbrechen nach Art. 19 Abs. 2 Bst. a und b des Betäubungsmittelgesetzes [grosse Gesundheitsgefährdung und Bandenbegehung] einhergehenden Gefährdung der Öffentlichkeit ist das Interesse am Vollzug der Wegweisung sehr hoch. Es kann kein Risiko eingegangen werden, dass der Beurteilte die Freiheit zum Untertauchen missbrauchen würde. Aus diesem Grund ist auch kein milderes Mittel ersichtlich, welches an Stelle von Haft treten könnte. Die Anordnung von Ausschaffungshaft für drei Monate ist nach dem Gesagten verhältnismässig. Das vorliegende Verfahren ist gemäss § 4 Abs. 1 des Gesetzes über den Vollzug der Zwangsmassnahmen im Ausländerrecht kostenlos.</w:t>
      </w:r>
    </w:p>
    <w:p>
      <w:r>
        <w:t>Demgemäss erkenntdie Einzelrichterin:</w:t>
      </w:r>
    </w:p>
    <w:p>
      <w:r>
        <w:t>://:        Die über A____ angeordnete Ausschaffungshaft ist für die Dauer von drei Monaten, das heisst bis zum 1. Mai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