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AUS.2019.41 vom 12. Juli 2019</w:t>
      </w:r>
    </w:p>
    <w:p>
      <w:r>
        <w:t>BS Appellationsgericht, 2019-07-12, DE</w:t>
      </w:r>
    </w:p>
    <w:p>
      <w:r>
        <w:rPr>
          <w:b/>
        </w:rPr>
        <w:t xml:space="preserve">Quelle: </w:t>
      </w:r>
      <w:r>
        <w:t>https://mcp.opencaselaw.ch/entscheid/bs_appellationsgericht_AUS.2019.41</w:t>
      </w:r>
    </w:p>
    <w:p>
      <w:r>
        <w:t>FR: BS_APPELLATIONSGERICHT AUS.2019.41 du 12 juillet 2019</w:t>
      </w:r>
    </w:p>
    <w:p>
      <w:r>
        <w:t>IT: BS_APPELLATIONSGERICHT AUS.2019.41 del 12 luglio 2019</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A____ wurde am 11. Juli 2019 mit schriftlicher Verfügung des Migrationsamts aus der Schweiz weggewiesen.</w:t>
      </w:r>
    </w:p>
    <w:p>
      <w:r>
        <w:rPr>
          <w:b/>
        </w:rPr>
        <w:t>E. 2.1</w:t>
      </w:r>
    </w:p>
    <w:p>
      <w:r>
        <w:t>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3.2Das Migrationsamt führt in der Haftverfügung aus, A____ zeige mit seinem Verhalten, dass er nicht bereit sei, sich an die in der Schweiz geltenden Gesetze zu halten, indem er ohne die notwendigen Papiere in die Schweiz eingereist sei. Auch lasse das Auffinden der nicht ihm gehörenden Pässe den Verdacht aufkommen, dass er seine Identität verschleiern möchte. Es liege der Haftgrund von Art. 76 Abs. 1 lit. b Ziff. 4 AIG vor.</w:t>
      </w:r>
    </w:p>
    <w:p>
      <w:r>
        <w:t>Diesen Ausführungen ist zuzustimmen. A____ versichert zwar, dass er ohnehin nach Italien zurück reisen wolle und sich in Basel bei seiner Festnahme einzig zwecks Durchreise aufgehalten habe. Diese Angabe ist angesichts seiner Festnahme bei der Busstation des Flixbuses auch glaubhaft. Allerdings verkennt A____ damit, dass er ohne gültige Reisedokumente gar nicht selbstständig nach Italien einreisen darf. Ausserdem hat er angegeben, aufgrund seiner Geschäftstätigkeit als Verkäufer viel zu reisen. Es ist deshalb davon auszugehen, dass er sich in vergangen Jahren regelmässig ohne Reisepapiere im Schengenraum bewegt hat. Dies zeigt eine erhebliche Bereitschaft, sich über die geltenden Regeln hinwegzusetzen. Es ist unter diesen Umständen nicht davon auszugehen, dass A____ sich in Freiheit den Behörden zur Verfügung halten und abwarten würde, bis die italienischen Behörden seiner Rückübernahme zugestimmt haben und das Migrationsamt seine Rückreise hat organisieren können. Unklar bleibt ausserdem, wofür A____ nicht ihm gehörende Dokumente mit sich geführt hat. Seine Erklärung: Wir Araber sammeln alle unsere Dokumente. Ich war an der Reihe vermag keineswegs zu überzeugen bzw. vermag Bedenken betreffend einen möglichen deliktischen Gebrauch dieser Dokumente nicht zu beseitigen. Damit besteht ein weiterer Hinweis, dass A____ sich über geltende Gesetze hinwegsetzt. Damit ist die Notwendigkeit der Haftanordnung zu gegeben.</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sein Verhalten darauf schliessen lässt, dass er sich behördlichen Anordnungen widersetzt (Art. 76 Abs. 1 lit. b Ziff. 4 AIG.), oder wenn eine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4.2Das Migrationsamt hat gemäss Auskunft des zuständigen Mitarbeiters bereits erste Schritte betreffend die Anfrage der italienischen Behörden zur Rückübernahme des A____ unternommen. Gemäss Art. 6 Ziff. 3 des Abkommens zwischen der Schweizerischen Eidgenossenschaft und der Italienischen Republik über die Rückübernahme von Personen mit unbefugtem Aufenthalt (SR 0.142.114.549) hat der ersuchte Vertragsstaat dem ersuchenden Vertragsstaat innert kürzester Frist, spätestens innert 8 Tagen, den Rückübernahmeentscheid schriftlich mitzuteilen. Die Rückreise nach Italien kann nach Erhalt eines Einverständnisses zur Rückübernahme erfahrungsgemäss innert wenigen Tagen organisiert werden. Damit ist die Anordnung von drei Monaten Haft nicht notwendig, sondern ist die Haft einzig bis zum 8. August 2019 angemessen und rechtmässig</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10. Juli 2919 bis zum 8. August 2019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