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AUS.2019.26 vom 6. Mai 2019</w:t>
      </w:r>
    </w:p>
    <w:p>
      <w:r>
        <w:t>BS Appellationsgericht, 2019-05-06, DE</w:t>
      </w:r>
    </w:p>
    <w:p>
      <w:r>
        <w:rPr>
          <w:b/>
        </w:rPr>
        <w:t xml:space="preserve">Quelle: </w:t>
      </w:r>
      <w:r>
        <w:t>https://mcp.opencaselaw.ch/entscheid/bs_appellationsgericht_AUS.2019.26</w:t>
      </w:r>
    </w:p>
    <w:p>
      <w:r>
        <w:t>FR: BS_APPELLATIONSGERICHT AUS.2019.26 du 6 mai 2019</w:t>
      </w:r>
    </w:p>
    <w:p>
      <w:r>
        <w:t>IT: BS_APPELLATIONSGERICHT AUS.2019.26 del 6 maggio 2019</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Das Migrationsamt Basel-Stadt hat A____ mit Verfügung vom 4. Mai 2019 aus der Schweiz weggewiesen.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3.2Im vorliegenden Fall sind mehrere Haftgründe gegeben. Der Beurteilte hat sich anlässlich seiner Kontrolle durch das Schweizer Grenzwachtkorps mit einer verfälschten belgischen Identitätskarte ausgewiesen. Die Benutzung eines derartigen Dokumentes stellt ein Täuschungsmanöver dar. Mit (allerdings noch nicht rechtskräftigem) Strafbefehl vom 5. Mai 2019 ist der Beurteilte unter anderem wegen Fälschung von Ausweisen verurteilt worden. Der mit der Täuschung einhergehende Verstoss gegen die Rechtsordnung fällt damit im vorliegenden Fall, in dem der Beurteilte das Dokument nicht nur verwendet, sondern auch hergestellt hat, besonders krass aus. Ferner unterliegt der Beurteilte einem vom 19. Januar 2018 bis zum 18. Januar 2028 gültigen Einreiseverbot für die Schweiz und den gesamten Schengenraum. Dieses hat er nur kurze Zeit, nachdem es erlassen worden ist, verletzt. Es erübrigt sich deshalb zu prüfen, ob allenfalls die Dauer der Einreisesperre von 10 Jahren unangemessen hoch erscheint. Mit seinem Verhalten hat der Beurteilte deutlich gemacht, dass er nicht nur bereit ist, die geltende Rechtsordnung zu verletzen, sondern auch nicht gewillt ist, sich an behördliche Anordnungen zu halten, die ihm persönlich auferlegt worden sind. Schliesslich ist darauf hinzuweisen, dass er gegenüber dem Migrationsamt in seiner Befragung vom 4. Mai 2019 ebenso wie in der heutigen Verhandlung unglaubwürdige Angaben zu seinem Aufenthalt in der Schweiz gemacht hat. Wenn er tatsächlich, wie er angibt, (illegal) in Frankreich wohnhaft wäre und lediglich in die Schweiz eingereist ist, um sein Kind, das in der Schweiz in Yverdon lebt, zu besuchen, lässt sich nicht erklären, weshalb er, nachdem er am 2. Mai 2019 Yverdon verlassen hat und zum Euro Airport Basel gereist ist (siehe das entsprechende Zugticket in seinen Effekten), nur einen Tag später, nämlich am 3. Mai 2019, bereits wieder auf dem Weg zurück in die Schweiz gewesen ist. Die Erklärung, wonach er Geld in Frankreich bei Familienangehörigen holen gegangen ist, um es seiner Frau für seinen Sohn geben zu können, überzeugt in keiner Weise, zumal er bei seiner Anhaltung im Besitz von lediglich CHF 38.85 und EUR 1.75 war. Auch dies deutet im Übrigen darauf hin, dass sich der aktuelle Lebensmittelpunkt des Beurteilten wohl eher in der Schweiz befindet als in Frankreich. Aufgrund der genannten Anhaltspunkte ist davon auszugehen, dass der Beurteilte ohne Inhaftierung für den Vollzug der Wegweisung nicht zur Verfügung stünde. Da nicht anzunehmen ist, dass er, der bis anhin in krasser Weise die ausländerrechtlichen Regelungen und damit zusammenhängende Anordnungen missachtet hat, nunmehr Anweisungen des Migrationsamtes Folge leisten würde (Art. 76 Abs. 1 lit. b Ziff. 4 AIG), kann der Vollzug der Wegweisung des Beurteilten auch nicht durch mildere Massnahmen als die Ausschaffungshaft wirksam sichergestellt werden. Die Verfügung des Migrationsamtes erweist sich demnach als rechtmässig. Bei der Berechnung der drei Monate Ausschaffungshaft ist zu berücksichtigen, dass dem Beurteilten im Strafbefehl vom 5. Mai 2019 die ersten drei Tage seiner Inhaftierung, also der 3. bis 5. Mai 2019, an die ihm auferlegte unbedingte Freiheitsstrafe von 90 Tagen angerechnet worden sind. Damit ist der 6. Mai 2019 der erste ausländerrechtlich bedingte Tag der Haft und enden die drei Monate am 5. August 2019. Das vorliegende Verfahren ist gemäss § 4 Abs. 1 des Gesetzes über den Vollzug der Zwangsmassnahmen im Ausländerrecht kostenlos.</w:t>
      </w:r>
    </w:p>
    <w:p>
      <w:r>
        <w:t>Demgemäss erkenntdie Einzelrichterin:</w:t>
      </w:r>
    </w:p>
    <w:p>
      <w:r>
        <w:t>://:        Die über A____ angeordnete Ausschaffungshaft ist für die Dauer von 3 Monaten, d.h. bis 5. August 2019, rechtmässig.</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