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AUS.2019.100 vom 27. Dezember 2019</w:t>
      </w:r>
    </w:p>
    <w:p>
      <w:r>
        <w:t>BS Appellationsgericht, 2019-12-27, DE</w:t>
      </w:r>
    </w:p>
    <w:p>
      <w:r>
        <w:rPr>
          <w:b/>
        </w:rPr>
        <w:t xml:space="preserve">Quelle: </w:t>
      </w:r>
      <w:r>
        <w:t>https://mcp.opencaselaw.ch/entscheid/bs_appellationsgericht_AUS.2019.100</w:t>
      </w:r>
    </w:p>
    <w:p>
      <w:r>
        <w:t>FR: BS_APPELLATIONSGERICHT AUS.2019.100 du 27 décembre 2019</w:t>
      </w:r>
    </w:p>
    <w:p>
      <w:r>
        <w:t>IT: BS_APPELLATIONSGERICHT AUS.2019.100 del 27 dicembre 2019</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66abisStGB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Gegen A____ liegen ein rechtskräftiger Wegweisungsentscheid und eine rechtskräftige Landesverweisung vor.</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Ausreisefrist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begründet die angeordnete Ausschaffungshaft mit dem Vorliegen einer Untertauchensgefahr. Ausserdem sei A____ wegen der Begehung von Verbrechen vorbestraft und bedrohe Personen ernsthaft an Leib und Leben oder gefährde diese erheblich, weshalb er bereits auch strafrechtlich verfolgt und verurteilt worden sei.</w:t>
      </w:r>
    </w:p>
    <w:p>
      <w:r>
        <w:t>3.3A____ hat sich in der Vergangenheit diverser Aliasnamen bedient und seine wahre Identität erst mit einem Reisepass belegt, als er ab dem Jahr 2016 heiraten wollte, was er zwischenzeitlich auch getan hat. In der Schweiz ist er seit dem Jahr 2015 regelmässig strafrechtlich in Erscheinung getreten. Er wurde insgesamt vier Mal vom Strafgericht Basel-Stadt verurteilt. Hintergrund der Delikte sind vorwiegend der Handel und Konsum mit Betäubungsmitteln sowie häusliche Gewalt. Die im Frühjahr 2019 im Zusammenhang mit der aktuellen Wegweisung vom Migrationsamt anberaumten Termine hat er mehrheitlich nicht eingehalten. Nach Abweisung seines Asylantrags im Jahr 2014 hat er die Schweiz nicht verlassen. A____ bringt in sämtlichen Einvernahmen, so auch an der heutigen Gerichtsverhandlung, unmissverständlich zum Ausdruck, dass er nicht bereit sei, in seine Heimat Iran zurück zu kehren. Das Vorliegen einer Untertauchensgefahr ist vor diesem Hintergrund offensichtlich gegeben; A____ hält sich nicht an die geltende Rechtsordnung, kümmert sich nicht um behördliche Anweisungen und war in der Vergangenheit lange Zeit nicht bereit, korrekte Angaben zu seiner Identität zu machen. Mit seiner Kooperation betreffend den Vollzug der Landesverweisung und der Wegweisung ist in Freiheit nicht zu rechnen. A____ ist insgesamt viermal zu kurzen Freiheitstrafen wegen Verbrechen und Vergehen verurteilt worden (s. Strafregisterauszug), damit liegt auch dieser Haftgrund vor (Art. 76 Abs. 1 lit. b Ziff. 1 i.V.m 75 Abs. 1 lit. h AIG). Aufgrund der am 11. Januar 2018 ergangen Verurteilung wegen häuslicher Gewalt ist auch vom Vorliegen des Haftgrundes gemäss Art. 76 Abs. 1 lit. b Ziff. 1 i.V.m 75 Abs. 1 lit. g AIG auszugehen. Dies umso mehr, als die Ehefrau zwischenzeitlich ihren Antrag um Familiennachzug zurückgezogen hat und davon ausgegangen werden muss, dass sie keinen Kontakt zu ihm wünscht und sich möglicherweise auch vor ihm fürchtet.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 S. 58 und BGE 125 II 369 E. 3a S. 374 f.).</w:t>
      </w:r>
    </w:p>
    <w:p>
      <w:r>
        <w:t>4.2Aufgrund des renitenten Verhaltens des A____, der sich in den vergangenen Jahren nicht an das Gesetz und nicht an behördliche Anweisungen gehalten hat, ist nicht ersichtlich, welche mildere Massnahme den Vollzug der Landesverweisung und der Wegweisung sicherstellen könnten. Insbesondere kann nicht davon ausgegangen werden, dass er sich etwa an eine Eingrenzung auf ein bestimmtes Gebiet des Kantons Basel-Stadt halten würde und dadurch für die Behörden erreichbar wäre. Die Anordnung von Haft ist notwendig.</w:t>
      </w:r>
    </w:p>
    <w:p>
      <w:r>
        <w:t>4.3Soweit A____ geltend macht, er könne nicht in den Iran zurück, da er dort umgebracht werde, ist darauf hinzuweisen, dass sein Asylantrag abgelehnt wurde und in der Rekursbegründung des JSD vom 27. Juni 2019 eingehend dargelegt wird, dass es A____ nicht gelungen ist, eine konkrete Gefährdung seiner Person im Iran nachzuweisen, indem er nur in allgemeiner Art und Weise von seinen (angeblichen) Problemen berichtete, dazu jedoch keine näheren Angaben machte (Rekursentscheid S. 14 f.). Die Situation stellt sich heute nicht anders dar. A____ behauptet einzig, ihn erwarte im Iran die Todesstrafe, ohne dies zu begründen, geschweige denn zu belegen. Den Reisehinweisen des Eidgenössischen Departements für auswärtige Angelegenheiten (EDA) für den Iran, publiziert am 20. November 2019, ist zu entnehmen, dass der Iran "über eine stabile politische Ordnung und Infrastruktur" verfügt. Diese Aussage macht das EDA unter Einbezug der schwierigen Wirtschaftslage und der latenten Spannungen, welche periodisch zu Kundgebungen führen, letztmals im November 2019. Vor diesem Hintergrund ist nicht davon auszugehen, dass rechtliche und tatsächliche Hindernisse gegen den Vollzug der Landesverweisung und der Wegweisung sprechen (vgl. Art. 80 Abs. 6 lit. a AIG und vgl. zur Notwendigkeit der Glaubhaftmachung eines "real risk" das Urteil des Bundesverwaltungsgerichts D-2696/2017 vom 11. Mai 2018 E. 7.3 [ebenfalls betreffend eine Rückführung in den Iran]).</w:t>
      </w:r>
    </w:p>
    <w:p>
      <w:r>
        <w:t>4.4In Bezug auf die Geltendmachung eines Anspruchs auf Verbleib bei seinen leiblichen Kindern, eines davon in Deutschland lebend, ist ebenfalls auf diesbezügliche Ausführungen in Entscheid des JSD vom 27. Juni 2019 zu verweisen. Das JSD hat sich mit dem in Art. 8 Ziff. 1 Europäische Menschenrechtskonvention (EMRK, SR 0.101) und Art. 13 Abs. 1 Bundesverfassung (BV, SR 101) kodifizierten Recht auf Achtung des Familienlebens auseinandergesetzt und festgestellt, dass A____ keine intakt gelebten Beziehungen zu seiner Ehefrau und seiner Tochter in der Schweiz nachweisen könne, weshalb er keinen Aufenthaltsanspruch aus den genannten Bestimmungen ableiten könne. Betreffend sein in Deutschland lebendes Kind habe er sich grundsätzlich an die Deutschen Behörden zu wenden. Da dieses weder bei ihm noch der Kindesmutter lebe, sondern fremdplaziert sei, sei ein dortiger aus der Achtung des Familienlebens resultierender Anspruch auf Aufenthalt allerdings zweifelhaft (Rekursentscheid S. 8 ff.). Damit ist erstellt, dass auch die familiäre Situation des A____ nicht gegen den Vollzug der Weg- und Landesverweisung spricht.</w:t>
      </w:r>
    </w:p>
    <w:p>
      <w:r>
        <w:t>4.5Die Organisation seiner Rückreise ist bereits mit Anmeldung für einen "swissREPAT Linienflug" am 24. Dezember 2019 erfolgt. Das Migrationsamt hat damit innert kurzer Zeit nach Bekanntwerden des Zeitpunkts der Entlassung aus dem Strafvollzug reagiert und ist dem Beschleunigungsgebot nachgekommen. A____ verfügt über einen gültigen Reisepass, weshalb eine zwangsweise Rückführung in den Iran möglich ist.</w:t>
      </w:r>
    </w:p>
    <w:p>
      <w:r>
        <w:t>4.6Die Anordnung von Ausschaffungshaft erweist sich damit als rechtmässig und angemessen. Gemäss Rückfluganmeldeformular wird eine Rückführung Ende Januar 2020 angestrebt. Ob tatsächlich ein Rückflug in wenigen Wochen organisiert werden kann, steht damit aber (noch) nicht sicher fest, weshalb sich die Anordnung von Ausschaffungshaft für die Dauer von drei Monaten rechtfertigt.</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25. Dezember 2019 bis 24. März 2020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