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AUS.2018.60 vom 21. Juni 2018</w:t>
      </w:r>
    </w:p>
    <w:p>
      <w:r>
        <w:t>BS Appellationsgericht, 2018-06-21, DE</w:t>
      </w:r>
    </w:p>
    <w:p>
      <w:r>
        <w:rPr>
          <w:b/>
        </w:rPr>
        <w:t xml:space="preserve">Quelle: </w:t>
      </w:r>
      <w:r>
        <w:t>https://mcp.opencaselaw.ch/entscheid/bs_appellationsgericht_AUS.2018.60</w:t>
      </w:r>
    </w:p>
    <w:p>
      <w:r>
        <w:t>FR: BS_APPELLATIONSGERICHT AUS.2018.60 du 21 juin 2018</w:t>
      </w:r>
    </w:p>
    <w:p>
      <w:r>
        <w:t>IT: BS_APPELLATIONSGERICHT AUS.2018.60 del 21 giugno 2018</w:t>
      </w:r>
    </w:p>
    <w:p>
      <w:pPr>
        <w:pStyle w:val="Heading2"/>
      </w:pPr>
      <w:r>
        <w:t>Erwägungen</w:t>
      </w:r>
    </w:p>
    <w:p>
      <w:r>
        <w:rPr>
          <w:b/>
        </w:rPr>
        <w:t>E. 1</w:t>
      </w:r>
    </w:p>
    <w:p>
      <w:r>
        <w:t>Gemäss dem mit dem Inkrafttreten der Dublin III Verordnung (Verordnung [EU] 604/2013) am 1. Juli 2015 eingefügten Art. 76 Abs. 1bisAusländergesetz (AuG, SR 142.20) richtet sich die Anordnung von Haft in Dublin-Fällen nach Art. 76a AuG. Wurde die Haft wie vorliegend vom Kanton angeordnet, so wird die Rechtmässigkeit und Angemessenheit der Haft gemäss Art. 80a Abs. 3 AuG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AuG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w:t>
      </w:r>
    </w:p>
    <w:p>
      <w:r>
        <w:t>A____ hat am 19. Juni 2018 um gerichtliche Überprüfung der ihm am selben Tag eröffneten Haftverfügung ersucht. Diese Überprüfung erfolgt mit dem vorliegenden Entscheid rechtzeitig. Aufgrund der Dringlichkeit der Angelegenheit ist der Entscheid den Parteien vorab per Fax zuzustellen.</w:t>
      </w:r>
    </w:p>
    <w:p>
      <w:r>
        <w:rPr>
          <w:b/>
        </w:rPr>
        <w:t>E. 2</w:t>
      </w:r>
    </w:p>
    <w:p>
      <w:r>
        <w:t>Gemäss Art. 64a Abs. 1 AuG erlässt das Staatssekretariat für Migration (SEM) eine Wegweisungsverfügung gegen eine Person, sofern die Zuständigkeit zur Durchführung eines Asyl- und Wegweisungsverfahrens gemäss der Dublin III Verordnung einem anderen Dublin-Staat zukommt. Vorliegend sind die für eine Rückübernahme in Frage kommenden Staaten Italien oder Deutschland (s. dazu unten Ziff. 3.2) noch anzufragen, ob einer Rückübernahme zugestimmt wird. Das Vorliegen eines Wegweisungstitels ist deshalb (noch) nicht notwendig. Folgerichtig hat das Migrationsamt die Vorbereitungshaft nach Art. 76a Abs. 3 lit. a AuG und damit die Inhaftnahme vor der Klärung der Zuständigkeit bzw. für die Dauer der Klärung der Zuständigkeit angeordnet.</w:t>
      </w:r>
    </w:p>
    <w:p>
      <w:r>
        <w:rPr>
          <w:b/>
        </w:rPr>
        <w:t>E. 3</w:t>
      </w:r>
    </w:p>
    <w:p>
      <w:r>
        <w:t>3.1Die zuständige Behörde kann die betroffene ausländische Person gemäss Art. 76a Abs. 1 AuG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Art. 76a Abs. 2 AuG normiert Gründe, welche als konkrete Indizien befürchten lassen, die betroffene Person werde sich der Wegweisung entziehen. Es handelt sich um objektive gesetzliche Kriterien für die Annahme von Fluchtgefahr. Die angegebenen Haftgründe decken sich über weite Strecken mit den Haftgründen der Vorbereitungs- und Ausschaffungshaft nach den Art. 75 f. AuG (Botschaft zur Weiterentwicklung des Dublin/Eurodac-Besitzstandes vom 7. März 2014 S. 2675 ff., 2702). Ob eine erhebliche Fluchtgefahr tatsächlich besteht, bedarf zusätzlich der Prüfung im Einzelfall (Zünd, in: Kommentar Migrationsrecht, Spescha et al. [Hrsg.], 4. Auflage 2015, Art. 76a AuG N 3). Die betroffene Person kann während der Vorbereitung des Entscheids über die Zuständigkeit für das Asylgesuch für maximal sieben Wochen in Haft genommen werden (Art. 76a Abs. 3 lit. a AuG).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stützt die angeordnete Haft auf Art. 76a Abs. 2 lit b und c AuG. Es führt dazu aus, dass bisherige Verhalten des A____ zeige auf, dass er sich an keine behördlichen Massnahme halte.</w:t>
      </w:r>
    </w:p>
    <w:p>
      <w:r>
        <w:t>Gemäss Art. 76a Abs. 2 lit. b AuG kann eine ausländische Person in Administrativhaft genommen werden, wenn ihr Verhalten in der Schweiz oder im Ausland darauf schliessen lässt, dass sie sich behördlichen Anordnungen widersetzt. A____ hat bei seiner Festnahme am 19. Juni 2018 gegenüber den Polizeibeamten angegeben, er heisse A____, stamme aus Guinea und sei am [...] zur Welt gekommen. Gemäss schriftlicher Auskunft von Polizeihauptkommissar [...] der Deutschen Bundespolizei vom 19. Juni 2018 ist A____ hingegen in Deutschland unter den Personalien [...], geb. am [...] sowie [...], geb. am [...], je aus Guinea stammend, erfasst. Auf diesen Widerspruch hingewiesen, gab A____ an der Befragung durch das Migrationsamt an, seine wahre Identität sei [], geb. []. Er sei ein bisschen verwirrt gewesen, als ihn die Polizei angehalten habe. Er sei weder in Deutschland noch in Italien je kontrolliert worden. Damit ist erstellt, dass A____ mittels Angabe eines anderen Namens und Geburtsdatums seine in Deutschland erfasste Identität verschleiern wollte. Dass er einzig aus lauter Aufregung über die Personenkontrolle seinen Vornamen falsch genannt haben will, ist eine offensichtliche Schutzbehauptung, da man erfahrungsgemäss seinen Vornamen sogar in Extremsituationen noch kennt. Des Weiteren hat A____ an der Befragung durch das Migrationsamt angegeben, er habe in Deutschland einen negativen Asylentscheid erhalten. Die Deutschen Behörden wollten ihn aber erst in 5 bis 6 Monaten nach Italien (dem Land seines ersten Asylgesuches) rücküberführen. Er aber wolle für eine Woche einen kranken Freund in Italien besuchen und habe vor, danach nach Deutschland zurück zu kehren. Er sei am letzten Freitag aus dem Asylcamp abgereist. Gemäss Angaben der Deutschen Bundespolizei gilt A____ indessen seit dem 25. April 2018 als unkontrolliert abgereist. Damit erweisen sich auch diese Angaben des A____ als unwahr und es ist erstellt, dass er sich in Deutschland einer Rückweisung nach Italien entziehen wollte und deshalb untergetaucht ist. Aus diesem Verhalten des A____ wird ersichtlich, dass er sich in Freiheit nicht an behördliche Anordnungen hält, weshalb der geltend gemachte Haftgrund gegeben ist. Eine mildere Massnahme, welche eine Rücküberführung in den zuständigen Dublin-Staat sicherzustellen vermag, ist nicht ersichtlich. Persönliche Gründe, die gegen eine Inhaftnahme sprechen, liegen keine vor. Die Haft ist damit rechtmässig und angemessen. Sie endet allerdings nicht wie angeordnet am 7. sondern am 6. August 2018 (24:00 Uhr).</w:t>
      </w:r>
    </w:p>
    <w:p>
      <w:r>
        <w:t>Damit ist unerheblich, dass A____ in der Schweiz nicht mehrere Asylgesuche unter verschiedenen Identitäten eingereicht hat (Art. 76a Abs. 2 lit. c AuG). Festzuhalten ist in diesem Zusammenhang allerdings gleichwohl, dass die von A____ angegebene(n) Identität(en) einzig auf seinen Angaben beruht (bzw. beruhen) und damit keineswegs als gesichert gelten kann (bzw. können), verfügt er doch angeblich über keine Identitätspapiere.</w:t>
      </w:r>
    </w:p>
    <w:p>
      <w:r>
        <w:rPr>
          <w:b/>
        </w:rPr>
        <w:t>E. 4</w:t>
      </w:r>
    </w:p>
    <w:p>
      <w:r>
        <w:t>Das Migrationsamt hat am 19. Juni 2018 der zuständigen Bundesbehörde (Dublin Office) die Akten überwiesen und die Behörde ersucht, eine mögliche Rückübergabe an den zuständigen Dublinvertragsstaat in die Wege zu leiten. Das Migrationsamt kommt damit seinem Auftrag, das Verfahren voranzutreiben nach; das Beschleunigungsgebot wurde bislang eingehalten. Die Haft erweist sich als rechtmässig und angemessen.</w:t>
      </w:r>
    </w:p>
    <w:p>
      <w:r>
        <w:rPr>
          <w:b/>
        </w:rPr>
        <w:t>E. 5</w:t>
      </w:r>
    </w:p>
    <w:p>
      <w:r>
        <w:t>Es werden keine Gerichtskosten erhoben (§ 4 Gesetz über den Vollzug der Zwangsmassnahmen im Ausländerrecht [SG 122.300]).</w:t>
      </w:r>
    </w:p>
    <w:p>
      <w:r>
        <w:t>Demgemäss erkenntdie Einzelrichterin:</w:t>
      </w:r>
    </w:p>
    <w:p>
      <w:r>
        <w:t>://:        Die über A____ angeordnete Vorbereitungshaft ist vom 19. Juni 2018 bis 6. August 2018, 24:00 Uhr, rechtmässig und angemessen.</w:t>
      </w:r>
    </w:p>
    <w:p>
      <w:r>
        <w:t>Es werden keine Kosten erhoben.</w:t>
      </w:r>
    </w:p>
    <w:p>
      <w:r>
        <w:t>Der Entscheid ist A____ in einer für ihn verständlichen Sprache durch das Migrationsamt zu eröffnen.</w:t>
      </w:r>
    </w:p>
    <w:p>
      <w:r>
        <w:t>Der Entscheid wird den Parteien vorab per Fax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Bestätigung</w:t>
      </w:r>
    </w:p>
    <w:p>
      <w:r>
        <w:t>Dieses Urteil wurde _____________________________ durch das Migrationsamt in</w:t>
      </w:r>
    </w:p>
    <w:p>
      <w:r>
        <w:t>_________________ Sprache eröffnet.</w:t>
      </w:r>
    </w:p>
    <w:p>
      <w:r>
        <w:t>Datum:</w:t>
      </w:r>
    </w:p>
    <w:p>
      <w:r>
        <w:t>Unterschrift Beurteilter: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