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AUS.2018.50 vom 30. Mai 2018</w:t>
      </w:r>
    </w:p>
    <w:p>
      <w:r>
        <w:t>BS Appellationsgericht, 2018-05-30, DE</w:t>
      </w:r>
    </w:p>
    <w:p>
      <w:r>
        <w:rPr>
          <w:b/>
        </w:rPr>
        <w:t xml:space="preserve">Quelle: </w:t>
      </w:r>
      <w:r>
        <w:t>https://mcp.opencaselaw.ch/entscheid/bs_appellationsgericht_AUS.2018.50</w:t>
      </w:r>
    </w:p>
    <w:p>
      <w:r>
        <w:t>FR: BS_APPELLATIONSGERICHT AUS.2018.50 du 30 mai 2018</w:t>
      </w:r>
    </w:p>
    <w:p>
      <w:r>
        <w:t>IT: BS_APPELLATIONSGERICHT AUS.2018.50 del 30 maggio 2018</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die Person in Haft genommen werden, wenn Gründe nach Art. 76 Abs. 1 lit. b Ziff. 1 i.V.m. Art. 75 Abs. 1 lit. a, b, c, f, g oder h AuG vorliegen, so etwa, wenn die Person wegen eines Verbrechens verurteilt worden ist (Art. 76 Abs. 1 lit. b Ziff. 1 i.V.m. Art. 75 Abs. 1 lit. h AuG), oder wenn sie das Gebiet der Schweiz trotz Einreiseverbot betritt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2.1Der Beurteilte wurde vom Migrationsamt mit Verfügung vom 23. August 2017 dazu aufgefordert, die Schweiz bis zum 21. September 2017 zu verlassen. Damit wurde ihm eine Wegweisungsverfügung eröffnet. Diese Voraussetzung für die Haft gemäss Art. 76 AuG ist erfüllt. Offen bleiben kann, ob allenfalls nach verpasster Rekursfrist diese Frist wiederhergestellt werden wird und ob die aufschiebende Wirkung beantragt wurde oder noch werden wird. Auch nicht einzugehen ist im vorliegenden Haftüberprüfungsverfahren auf die materiellen Gründe, welche zum Wegweisungsentscheid geführt haben, insbesondere den Aufenthalt des Beurteilten in den Jahren 2016 und 2017.</w:t>
      </w:r>
    </w:p>
    <w:p>
      <w:r>
        <w:t>2.2Für das Vorliegen von Untertauchensgefahr des Beurteilten sprechen die Umstände, wie das Migrationsamt zutreffend geltend macht, dass er am 14. Februar 2017 bereits einmal weggewiesen worden ist, dass er diverse strafrechtliche Verurteilungen (SVG- und BetmG-Delikte) aufweist, und dass er selber keinen Ausreisewillen bekundet. Letzteres ist allerdings nachvollziehbar, ist der Beurteilte doch in der Schweiz geboren und lebt seit seiner Kindheit in Basel. Er spricht Mundart und nach eigenem Bekunden nur gebrochen Türkisch. Offenbar spielt er auch Fussball an Meisterschaftsspielen in tieferen Ligen. Er wohnt in Basel bei seinen Eltern und /   oder seinem Bruder. Somit ist er für die Behörden auch greifbar. Gemäss seinen Angaben sind seine besten Freunde in Basel, und er ist seit sechs Jahren mit einer Schweizerin liiert; eine Heirat sei angedacht. Hinzu kommt, dass der Beurteilte ein Interesse am Ausgang des am Verwaltungsgericht hängigen materiellen Verfahrens hat und dort (wie auch hier) anwaltlich vertreten ist, sodass auch deshalb die Gefahr des Untertauchens gering erscheint. In diesem Sinne hat der Beurteilte denn in den vergangenen Monaten auch selber den Kontakt mit dem Migrationsamt gepflegt. Der Anwalt des Beurteilten hat heute kundgetan, man würde sich bei negativem Ausgang des Verfahrens allenfalls ein neues Gesuch oder ein Härtefallgesuch vorbehalten. Ob der Haftgrund gegeben ist, kann derzeit aber offen gelassen werden. Bei dieser Geschichte, dem sozialen und integrativen Hintergrund, diesen familiären Verhältnissen (Art. 80 Abs. 4 AuG) und solange das Verfahren vor Verwaltungsgericht hängig ist, erscheint die Haft jedenfalls unverhältnismässig. Sollte das Verfahren für den Beurteilten negativ ausgehen, dergestalt in Rechtskraft erwachsen und der Beurteilte dannzumal eine allfällig erneut angesetzte Ausreisefrist nicht selbständig wahrnehmen, dann wird auf die Frage der Untertauchensgefahr jedenfalls zurückgekommen werden können; für diesen Fall hat der Beurteilte heute aber auch verlauten lassen, er würde das Land nolens volens verlassen, sobald keine Rechtsmittel mehr zur Verfügung stünden. Der Beurteilte ist nach dem Gesagten wegen Unverhältnismässigkeit der Haft daraus zu entlassen.</w:t>
      </w:r>
    </w:p>
    <w:p>
      <w:r>
        <w:rPr>
          <w:b/>
        </w:rPr>
        <w:t>E. 3</w:t>
      </w:r>
    </w:p>
    <w:p>
      <w:r>
        <w:t>Bei diesem Ausgang des Verfahrens hat das Migrationsamt den Beurteilten für seine Anwaltskosten zu entschädigen (§ 30 Abs. 1 VRPG). Ob der Beurteilte für die ungerechtfertigt ausgestandene Haft zu entschädigen ist, ist nicht im vorliegenden Verfahren zu beurteilen.</w:t>
      </w:r>
    </w:p>
    <w:p>
      <w:r>
        <w:t>Demgemäss erkenntder Einzelrichter:</w:t>
      </w:r>
    </w:p>
    <w:p>
      <w:r>
        <w:t>://:        Die über A____ angeordnete Ausschaffungshaft ist unverhältnismässig. Er ist aus der Haft zu entlassen.</w:t>
      </w:r>
    </w:p>
    <w:p>
      <w:r>
        <w:t>Auf das Gesuch um Entschädigung für unrechtmässig ausgestandene Haft wird nicht eingetreten.</w:t>
      </w:r>
    </w:p>
    <w:p>
      <w:r>
        <w:t>Das Migrationsamt hat A____, vertreten durch [...], eine Parteientschädigung von CHF 1211.65 (CHF 1125. Honorar zuzüglich 7,7 % MWSt. zu CHF 86.65) zu bezahlen.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seinem Rechtsvertreter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