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AUS.2018.4 vom 8. Januar 2018</w:t>
      </w:r>
    </w:p>
    <w:p>
      <w:r>
        <w:t>BS Appellationsgericht, 2018-01-08, DE</w:t>
      </w:r>
    </w:p>
    <w:p>
      <w:r>
        <w:rPr>
          <w:b/>
        </w:rPr>
        <w:t xml:space="preserve">Quelle: </w:t>
      </w:r>
      <w:r>
        <w:t>https://mcp.opencaselaw.ch/entscheid/bs_appellationsgericht_AUS.2018.4</w:t>
      </w:r>
    </w:p>
    <w:p>
      <w:r>
        <w:t>FR: BS_APPELLATIONSGERICHT AUS.2018.4 du 8 janvier 2018</w:t>
      </w:r>
    </w:p>
    <w:p>
      <w:r>
        <w:t>IT: BS_APPELLATIONSGERICHT AUS.2018.4 del 8 gennaio 2018</w:t>
      </w:r>
    </w:p>
    <w:p>
      <w:pPr>
        <w:pStyle w:val="Heading2"/>
      </w:pPr>
      <w:r>
        <w:t>Erwägungen</w:t>
      </w:r>
    </w:p>
    <w:p>
      <w:r>
        <w:rPr>
          <w:b/>
        </w:rPr>
        <w:t>E. 1</w:t>
      </w:r>
    </w:p>
    <w:p>
      <w:r>
        <w:t>Gemäss Art. 80 Abs. 2 des Ausländergesetzes (AuG, SR 142.20) sind die Rechtmässigkeit und Angemessenheit der Haft spätestens nach 96 Stunden durch eine richterliche Behörde aufgrund einer mündlichen Verhandlung zu überprüfen. Diese Frist ist mit der heutigen Verhandlung eingehalten. Zuständig zur Überprüfung der Haft ist eine Einzelrichterin am Appellationsgericht als Verwaltungsgericht (vgl. § 2 des Gesetzes über den Vollzug der Zwangsmassnahmen im Ausländerrecht [SG 122.300]).</w:t>
      </w:r>
    </w:p>
    <w:p>
      <w:r>
        <w:rPr>
          <w:b/>
        </w:rPr>
        <w:t>E. 2</w:t>
      </w:r>
    </w:p>
    <w:p>
      <w:r>
        <w:t>Ein Ausländer kann in Haft genommen werden, wenn konkrete Anzeichen befürchten lassen, dass er sich der Ausschaffung entziehen will, insbesondere weil er besonderen Mitwirkungspflichten nicht nachkommt (Art. 76 Abs. 1 lit. b Ziff. 3 AuG), oder wenn Untertauchensgefahr (Art. 76 Abs. 1 lit. b Ziff. 3 und 4 AuG)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 Dass der Betroffene einer Ausreiseanordnung nicht Folge geleistet hat und sich illegal in der Schweiz aufhält, genügt hierfür allein allerdings nicht, ebenso wenig wie die Tatsache, dass er keine Papiere besitzt und nur mangelhaft an deren Beschaffung mitwirkt. Die Passivität des Ausländers kann jedoch, gleich wie das Fehlen eines festen Aufenthaltsorts oder die Mittellosigkeit, ein weiterer Hinweis dafür sein, dass er sich der Ausschaffung entziehen will (BGE 122 II 49 E. 2a S. 51, 129 I 139 E 4.2.1 S. 146).</w:t>
      </w:r>
    </w:p>
    <w:p>
      <w:r>
        <w:rPr>
          <w:b/>
        </w:rPr>
        <w:t>E. 3</w:t>
      </w:r>
    </w:p>
    <w:p>
      <w:r>
        <w:t>Die Beurteilte hat bei ihrer Anhaltung ein Formular ausgefüllt, auf dem sie sich als B____ ausgegeben hat. Dank Fingerabdruckvergleich konnte festgestellt werden, dass sie im System bereits mehrfach mit immer wieder wechselnden Identitäten verzeichnet ist. Allein das ist schon ein hinreichender Hinweis auf das Vorliegen von Untertauchensgefahr. Ferner sind auch die Angaben der Beurteilten gegenüber dem Migrationsamt und in der heutigen Verhandlung zur Frage, weshalb sie ohne Pass in die Schweiz gereist ist (diesen habe sie am Vorabend ihrer Reise, nachdem sie Alkohol konsumiert habe, in einer falschen Tasche versorgt und ihre Kollegin habe diese Tasche nicht mit auf die Reise genommen), nicht überzeugend, zumal die Beurteilte als Fahrerin des Autos sich vor der Abreise hätte vergewissern müssen, dass sie zumindest den Führerausweis auf sich trägt. Keine der drei kontrollierten Frauen konnte sich jedoch ausweisen, weshalb davon ausgegangen werden muss, dass sie ihre Herkunft bewusst für den Fall einer Kontrolle haben verschleiern wollen. Insgesamt sind die Aussagen der Beurteilten nicht glaubhaft und macht ihr bisheriges Verhalten deutlich, dass sie der Meinung ist, sie könne im Schengenraum Kommen und Gehen, wie es ihr gefällt. Die Haft ist sich nach dem Gesagten notwendig, um den Vollzug der Wegweisung sicherzustellen; ein milderes Mittel wie beispielsweise eine Meldepflicht genügt vorliegend nicht. Das vorliegende Verfahren ist kostenlos (§ 4 Abs. 1 des Gesetzes über den Vollzug der Zwangsmassnahmen im Ausländerrecht).</w:t>
      </w:r>
    </w:p>
    <w:p>
      <w:r>
        <w:t>Demgemäss erkenntdie Einzelrichterin:</w:t>
      </w:r>
    </w:p>
    <w:p>
      <w:r>
        <w:t>://:        Die über A____ angeordnete Ausschaffungshaft ist für drei Monate, das heisst bis zum 5. April 2018, rechtmässig und angemessen.</w:t>
      </w:r>
    </w:p>
    <w:p>
      <w:r>
        <w:t>Es werden keine Kosten erhoben.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Die inhaftierte Ausländerin kann einen Monat nach der Haftüberprüfung ein Haftentlassungsgesuch einreichen beim 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