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AUS.2018.3 vom 8. Januar 2018</w:t>
      </w:r>
    </w:p>
    <w:p>
      <w:r>
        <w:t>BS Appellationsgericht, 2018-01-08, DE</w:t>
      </w:r>
    </w:p>
    <w:p>
      <w:r>
        <w:rPr>
          <w:b/>
        </w:rPr>
        <w:t xml:space="preserve">Quelle: </w:t>
      </w:r>
      <w:r>
        <w:t>https://mcp.opencaselaw.ch/entscheid/bs_appellationsgericht_AUS.2018.3</w:t>
      </w:r>
    </w:p>
    <w:p>
      <w:r>
        <w:t>FR: BS_APPELLATIONSGERICHT AUS.2018.3 du 8 janvier 2018</w:t>
      </w:r>
    </w:p>
    <w:p>
      <w:r>
        <w:t>IT: BS_APPELLATIONSGERICHT AUS.2018.3 del 8 gennaio 2018</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Ein Ausländer kann in Haft genommen werden, wenn konkrete Anzeichen befürchten lassen, dass er sich der Ausschaffung entziehen will, insbesondere weil er besonderen Mitwirkungspflichten nicht nachkommt (Art. 76 Abs. 1 lit. b Ziff. 3 AuG), oder wenn Untertauchensgefahr (Art. 76 Abs. 1 lit. b Ziff. 3 und 4 AuG)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Die Passivität des Ausländers kann jedoch, gleich wie das Fehlen eines festen Aufenthaltsorts oder die Mittellosigkeit, ein weiterer Hinweis dafür sein, dass er sich der Ausschaffung entziehen will (BGE 122 II 49 E. 2a S. 51, 129 I 139 E 4.2.1 S. 146).</w:t>
      </w:r>
    </w:p>
    <w:p>
      <w:r>
        <w:rPr>
          <w:b/>
        </w:rPr>
        <w:t>E. 3</w:t>
      </w:r>
    </w:p>
    <w:p>
      <w:r>
        <w:t>Der Beurteilte hat bei seiner Anhaltung durch die Polizei versucht, sich durch Flucht einer näheren Kontrolle zu entziehen. Als ihm dies nicht gelang, hat er sich mit einem Reisepass, lautend auf B____, ausgewiesen. Ein Vergleich seiner Fingerabdrücke hat ergeben, dass er unter der Identität A____ erfasst ist. Diese Identität hatte er mittels biometrischem Pass belegt. Als A____ wurde er denn auch im Oktober 2016 durch den Kanton Zürich in die Heimat ausgeschafft. Anlässlich seiner Befragung durch das Migrationsamt gab er erneut eine andere Identität (C____) als die seine an mit der Begründung, er wolle nun reinen Tisch machen, da er seine in der Schweiz wohnhafte Freundin heiraten möchte. Durch seinen Vater liess er dem Migrationsamt eine Kopie seines Führerscheins und seiner Geburtsurkunde, lautend auf C____, faxen. In der Zwischenzeit hat offenbar die Schwester des Beurteilten die Geburtsurkunde vorbeigebracht. Fest steht, dass der Beurteilte bis anhin nichts Konkretes in Bezug auf die angeblich beabsichtigte Heirat unternommen hat, weshalb es sich bei den diesbezüglichen Aussagen auch um einen Vorwand handeln könnte. Das bisherige Verhalten des Beurteilten macht jedenfalls deutlich, dass ihm jedes Mittel recht ist, um sich eine Aufenthaltsmöglichkeit in der Schweiz zu verschaffen. Der Beurteilte bietet deshalb nicht die Gewähr, dass er sich an Zusagen oder Abmachungen mit dem Migrationsamt halten würde. Dies gilt umso mehr, als er ausweichend auf die Frage, wann er das letzte Mal in der Schweiz gewesen sei, reagiert hat. Es besteht der begründete Verdacht, dass sich der Beurteilte weit länger in der Schweiz aufhält, als er glauben machen will. Die Haft ist nach dem Gesagten notwendig, um den Vollzug der Wegweisung sicherzustellen; ein milderes Mittel wie beispielsweise eine Meldepflicht genügt vorliegend nicht. Das Migrationsamt hat die Haft auf einen Monat beschränkt, da davon ausgegangen werden kann, dass innert kurzer Frist ein Reisedokument für den Beurteilten erhältlich gemacht werden und er die Rückreise antreten kann. Insgesamt erweist sich die Haft deshalb auch als verhältnismässig und ist zu bestätigen. Das Migrationsamt hat das Haftende zu Recht auf den 4. Februar 2018 gelegt, da sich der Beurteilte erst ab dem Zeitpunkt seiner Befragung vom 5. Januar 2017 in ausländerrechtlich begründeter Haft befunden hat. Das vorliegende Verfahren ist kostenlos (§ 4 Abs. 1 des Gesetzes über den Vollzug der Zwangsmassnahmen im Ausländerrecht).</w:t>
      </w:r>
    </w:p>
    <w:p>
      <w:r>
        <w:t>Demgemäss erkenntdie Einzelrichterin:</w:t>
      </w:r>
    </w:p>
    <w:p>
      <w:r>
        <w:t>://:        Die über A____ angeordnete Ausschaffungshaft ist für einen Monat, das heisst bis zum 4. Februar 2018,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