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AUS.2018.26 vom 21. März 2018</w:t>
      </w:r>
    </w:p>
    <w:p>
      <w:r>
        <w:t>BS Appellationsgericht, 2018-03-21, DE</w:t>
      </w:r>
    </w:p>
    <w:p>
      <w:r>
        <w:rPr>
          <w:b/>
        </w:rPr>
        <w:t xml:space="preserve">Quelle: </w:t>
      </w:r>
      <w:r>
        <w:t>https://mcp.opencaselaw.ch/entscheid/bs_appellationsgericht_AUS.2018.26</w:t>
      </w:r>
    </w:p>
    <w:p>
      <w:r>
        <w:t>FR: BS_APPELLATIONSGERICHT AUS.2018.26 du 21 mars 2018</w:t>
      </w:r>
    </w:p>
    <w:p>
      <w:r>
        <w:t>IT: BS_APPELLATIONSGERICHT AUS.2018.26 del 21 marzo 2018</w:t>
      </w:r>
    </w:p>
    <w:p>
      <w:pPr>
        <w:pStyle w:val="Heading2"/>
      </w:pPr>
      <w:r>
        <w:t>Erwägungen</w:t>
      </w:r>
    </w:p>
    <w:p>
      <w:r>
        <w:rPr>
          <w:b/>
        </w:rPr>
        <w:t>E. 1</w:t>
      </w:r>
    </w:p>
    <w:p>
      <w:r>
        <w:t>Gemäss Art. 80 Abs. 2 Ausländergesetz (AuG,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 66a oder 66abisStrafgesetzbuch (StGB, SR 311.0)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Die mit Strafurteil vom 1. September 2017 gegen A____ ausgesprochene Landesverweisung ist unangefochten in Rechtskraft erwachsen. Mit dem Informationsschreiben des Migrationsamts vom 28. Oktober 2017 wurde A____ ausserdem mitgeteilt, dass die Landesverweisung unmittelbar nach ihrer Entlassung aus der Strafhaft zu vollziehen sei. A____ wurde gestützt auf diese Landesverweisung bereits zweimal an der Landesgrenze den italienischen Behörden überstellt. Beide Male ist sie gemäss eigenen Angaben umgehend in die Schweiz zurückgekehrt bzw. sogar in der Schweiz geblieben. Beim ersten Mal am 10. November 2017 sei sie zwar an der Grenze von den italienischen Behörden kontrolliert worden, nach Verlassen des Zollbüros sei sie aber direkt zurück in die Schweiz. Beim zweiten Mal am 17. März 2018 habe man ihr in der Schweiz den Weg zum Zoll gezeigt und sie dann alleine gelassen. Sie habe sodann die Grenze nicht überquert. Es ist damit erstellt, dass keine wirkliche Rückkehr nach Italien stattgefunden hat. Damit wurde nach der ständigen Praxis des Appellationsgerichts zum Vollzug von Wegweisungen die Landesverweisung nicht bereits ein- bzw. zweimal vollzogen, da dies eine Ausreise aus der Schweiz mit der Absicht eines dauernden Verbleibens andernorts bedingen würde. Ob es andernfalls trotz der fünf Jahre geltenden Landesverweisung einer zusätzlichen erneuten Wegweisung bedürfte, kann damit offen bleiben (s. dazu:Kanber, Die ausländerrechtliche Administrativhaft, Dissertation Bern 2017, S. 204, welcher offenbar diesen Standpunkt vertritt, allerdings ohne sich differenziert mit der Natur der Landesverweisung auseinanderzusetzen).</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66abisStrafgesetzbuch (StGB, SR 311) oder Art. 49aoder 49abisMilitärstrafgesetz (MStG, SR 321.0) insbesondere in Haft genommen werden, wenn Gründe nach Art. 76 Abs. 1 lit. b Ziff. 1 i.V.m. Art. 75 Abs. 1 lit. b, c, g oder h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(Art. 76 Abs. 1 lit. b Ziff. 3 und 4 AuG).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3.2Gemäss der zu überprüfenden Haftanordnungsverfügung rechtfertigt sich die Haft vorliegend, da A____ mit ihrem Verhalten, namentlich der zweimaligen unmittelbaren Rückkehr in die Schweiz nach erfolgter Überstellung nach Italien, in aller Deutlichkeit gezeigt habe, dass sie nicht bereit sei, sich an behördliche Anordnungen zu halten. Das Migrationsamt stützt sich damit auf den Haftgrund von Art. 76 Abs. 1 lit. b Ziff. 4 AuG.</w:t>
      </w:r>
    </w:p>
    <w:p>
      <w:r>
        <w:t>3.3Das Migrationsamt hat A____ vor Erlass der Haftverfügung nicht umfassend zur Sache befragt. Die Anhörung beschränkte sich gemäss dem Protokoll zur Gewährung des rechtlichen Gehörs offenbar auf die Eröffnung der Haftverfügung und die Frage, ob Angehörige über die Inhaftnahme zu unterrichten seien. In der Haftverfügung wird auf die Angaben von A____ in der polizeilichen Einvernahme vom 19. März 2018 verwiesen. Es ist festzustellen, dass A____ demnach zum Haftgrund nicht Stellung nehmen konnte. Soweit darin eine Verletzung des rechtlichen Gehörs erfolgte, konnte diese mit der heutigen Verhandlung, anlässlich welcher A____ zu den Haftgründen (s. unten Ziff. und Protokoll der Verhandlung vom 21. März 2018) Stellung nehmen konnte, allerdings geheilt werden. Es ist gleichwohl festzuhalten, dass die betroffene Person vor Anordnung der Ausschaffungshaft grundsätzlich immer ordentlich anzuhören ist.</w:t>
      </w:r>
    </w:p>
    <w:p>
      <w:r>
        <w:t>3.4A____ wurde bereits zweimal an die italienische Grenze begleitet. Gleichwohl ist sie gemäss eigenen Aussagen an der Gerichtsverhandlung beide Male noch am selben Tag wieder in die Schweiz eingereist. Sie gibt an, sie sei in der Schweiz aufgewachsen, ihre ganze Familie lebe hier und sie gehöre hierher. Aus diesen Angaben wird offenkundig, dass A____ sich nicht damit auseinandergesetzt hat, dass sie für 5 Jahre des Landes verwiesen wurde und kein Aufenthaltsrecht mehr besitzt. Vielmehr setzt sie ihre eigene Rechtsauffassung über die behördliche Anordnung und besteht auf einem Bleiberecht. Es ist folglich in Übereinstimmung mit dem Migrationsamt davon auszugehen, dass sie sich in Freiheit den behördlichen Anordnungen widersetzt und weiterhin in der Schweiz verbleibt. Daran ändert auch nichts, dass sie gemäss den heutigen Aussagen nun gerne freiwillig nach Deutschland ausreisen will. Da sie über keine gültigen Papiere verfügt, ist ihr dies zum einen gar nicht gestattet, zum anderen aber hat sie sich bislang auch aufgrund ihrer Drogensucht als nicht in der Lage erwiesen, ihre persönlichen Angelegenheiten zu regeln. Nachdem sie am 19. März 2018 in einem Haus angehalten wurde, in welchem gemäss ihren eigenen Aussagen alles Junkies leben, kann auch nicht ernsthaft davon ausgegangen werden, dass sie tatsächlich von diesem Umfeld Abstand gewonnen hat. Von einer zuverlässigen eigenständigen Regelung ihrer Angelegenheiten ist deshalb auch aus diesem Grund nicht auszugehen.</w:t>
      </w:r>
    </w:p>
    <w:p>
      <w:r>
        <w:t>Gleichzeitig liegt auch der Haftgrund von Art. 76 Abs. 1 lit. b Ziff. 1 i.V.m. Art. 75 Abs. 1 lit. h AuG vor, der eine Inhaftnahme von des Landes verwiesenen Ausländern zulässt, wenn diese ein Verbrechen begangen haben. A____ wurde mit Strafurteil vom 1. September 2017 unter anderem des gewerbsmässigen Diebstahls schuldig erklärt und damit wegen eines Verbrechens verurteilt. Die Delikte stehen wohl im Zusammenhang mit ihrem Drogenkonsum.</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4.2Das Migrationsamt hat eine Haft von drei Monaten verfügt, da es aufgrund der fehlenden Reisepapiere die italienischen Behörden um eine Rückübernahme von A____ ersuchen müsse. Die italienische Behörde sei allerdings mit der Beantwortung der Anfrage nicht an eine Frist gebunden, weshalb sich die angeordnete Dauer rechtfertige. Gemäss E-Mail Schreiben des Migrationsamts vom 21. März 2018 wurde das Rückübernahmegesuch heute Morgen (21. März 2018) gestellt. Damit liegt keine Verletzung des Beschleunigungsgebotes vor. Ein milderes Mittel zur Sicherstellung der Ausschaffung in die Heimat ist nicht ersichtlich, weshalb die Haft und deren Dauer grundsätzlich rechtmässig sind. A____ wurde allerdings an der heutigen Verhandlung auf die Praxis des Gerichts und die Möglichkeit eines Haftentlassungsgesuchs für den Fall hingewiesen, dass sie in der Ausschaffungshaft während mehr als eines Monats allein, also ohne Mitgefangene, wäre. Dies ist aktuell allerdings nicht der Fall, nachdem sie an der heutigen Verhandlung angegeben hat, sie habe einige Stunden am Tag Kontakt zu sechs anderen inhaftierten Frauen.</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19. März 2018 bis 18. Juni 2018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