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AUS.2018.22 vom 28. Februar 2018</w:t>
      </w:r>
    </w:p>
    <w:p>
      <w:r>
        <w:t>BS Appellationsgericht, 2018-02-28, DE</w:t>
      </w:r>
    </w:p>
    <w:p>
      <w:r>
        <w:rPr>
          <w:b/>
        </w:rPr>
        <w:t xml:space="preserve">Quelle: </w:t>
      </w:r>
      <w:r>
        <w:t>https://mcp.opencaselaw.ch/entscheid/bs_appellationsgericht_AUS.2018.22</w:t>
      </w:r>
    </w:p>
    <w:p>
      <w:r>
        <w:t>FR: BS_APPELLATIONSGERICHT AUS.2018.22 du 28 février 2018</w:t>
      </w:r>
    </w:p>
    <w:p>
      <w:r>
        <w:t>IT: BS_APPELLATIONSGERICHT AUS.2018.22 del 28 febbraio 2018</w:t>
      </w:r>
    </w:p>
    <w:p>
      <w:pPr>
        <w:pStyle w:val="Heading2"/>
      </w:pPr>
      <w:r>
        <w:t>Erwägungen</w:t>
      </w:r>
    </w:p>
    <w:p>
      <w:r>
        <w:rPr>
          <w:b/>
        </w:rPr>
        <w:t>E. 1</w:t>
      </w:r>
    </w:p>
    <w:p>
      <w:r>
        <w:t>Nach den gesetzlichen Vorschriften kann eine betroffene Person zur Sicherstellung des Vollzugs eines eröffneten erstinstanzlichen Weg- oder Ausweisungsentscheids odereiner erstinstanzlichen Landesverweisung nach Artikel 66aoder 66abisStGB oder Artikel 49aoder 49abisMStGin Haft belassen werden, wenn er sich bereits in Vorbereitungshaft befindet (Art. 76 Abs. 1 lit. a AuG). Ferner kann ein Ausländer in Haft genommen werden, wenn Gründe nach Art. 76 Abs. 1 lit. b Ziff. 1 i.V.m. Art. 75 Abs. 1 lit. a, b, c, f, g oder h AuG vorliegen, so etwa, wenn das Gebiet der Schweiz trotz Einreiseverbot betreten wird (Art. 76 Abs. 1 lit. b Ziff. 1 i.V.m. Art. 75 Abs. 1 lit. c AuG). Ausserdem kann die Person in Haft genommen werden, wenn konkrete Anzeichen befürchten lassen, dass sie sich der Ausschaffung entziehen will, insbesondere weil sie besonderen Mitwirkungspflichten nicht nachkommt (Art. 76 Abs. 1 lit. b Ziff. 3 AuG), oder wenn Untertauchensgefahr vorliegt. Dies ist regelmässig der Fall, wenn die betroffene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einer straffällig gewordenen betroffenen Person doch eher als bei einer unbescholtenen davon auszugehen, sie werde in Zukunft behördliche Anordnungen missachten (vgl. auch Art. 75 Abs. 1 lit. g und h AuG). Nach Art. 76 Abs. 1 lit. b Ziff. 4 AuG kann eine betroffene Person auch in Haft genommen werden, wenn ihr Verhalten darauf schliessen lässt, dass sie sich behördlichen Anordnungen widersetzt.</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AuG), und sind die für den Vollzug der Weg- oder Ausweisungoder der Landesverweisung nach Artikel 66aoder 66abisStGB oder Artikel 49aoder 49abisMStGnotwendigen Vorkehren umgehend zu treffen (Art. 76 Abs. 4 AuG, Beschleunigungsgebot). Die Haft als Ganzes muss verhältnismässig sein (vgl. BGE 130 II 56 E. 1 S. 58 und BGE 125 II 369 E. 3a S. 374 f.).</w:t>
      </w:r>
    </w:p>
    <w:p>
      <w:r>
        <w:rPr>
          <w:b/>
        </w:rPr>
        <w:t>E. 2</w:t>
      </w:r>
    </w:p>
    <w:p>
      <w:r>
        <w:t>2.1Die Wegweisungsverfügung wurde dem Beurteilten mit dem Asylentscheid vom 22. April 2016 eröffnet. Diese Voraussetzung für die Haft ist gegeben.</w:t>
      </w:r>
    </w:p>
    <w:p>
      <w:r>
        <w:t>2.2Der Beurteilte müsste die Schweiz seit langem verlassen haben. Die verschiedenen strafrechtlichen Verurteilungen und sein Verhalten anlässlich der Repatriierung, welches zu deren Abbruch geführt hat, belegen, dass er nicht bereit ist, in sein Heimatland zurückzukehren. Dies hat er anlässlich der Einvernahme durch das Migrationsamt vom 23. Februar 2018 sowie anlässlich der heutigen Verhandlung ausdrücklich bestätigt. Seine Ausführungen zu Problemen, die er mit Behörden seines Heimatstaats habe, können im vorliegenden Haftüberprüfungsverfahren nicht berücksichtigt werden, sondern gehören ins materielle Verfahren  dort hat der Beurteilte gemäss seinen heutigen Aussagen die Problematik auch bereits deponiert, und in jenem Verfahren wurde auch darüber befunden. Der Asyl- und mit ihm der Wegweisungsentscheid ist allerdings seit langem rechtskräftig, und dass er völlig unhaltbar und geradezu nichtig wäre, kann nicht gesagt werden. Der Haftrichter ist somit daran gebunden. Daraus ergibt sich, dass der Beurteilte seine Mitwirkungspflichten verletzt und dass Untertauchensgefahr gegeben ist.</w:t>
      </w:r>
    </w:p>
    <w:p>
      <w:r>
        <w:t>2.3Wie eingangs dargestellt, hat das Strafgericht Basel-Landschaft den Beurteilten am 10. Mai 2017 wegen eines Verbrechens verurteilt. Das Urteil ist rechtskräftig und der entsprechende Haftgrund ist ebenfalls gegeben.</w:t>
      </w:r>
    </w:p>
    <w:p>
      <w:r>
        <w:t>2.4Das Migrationsamt plant einen erneuten Repatriierungsversuch, der frühestens ca. im Monat April möglich sein wird. Dieses Vorgehen ist nicht zu beanstanden. Das Beschleunigungsgebot ist gewahrt, und der Wegweisungsvollzug erscheint rechtlich und tatsächlich möglich und durchführbar. Der Beurteilte macht geltend, ihn erwarte in Algerien eine Gefängnisstrafe, er sei in contumacio verurteilt und das Urteil seiner Mutter zugestellt worden; eine in England wohnende Tante würde ihm helfen, den Stand der Dinge zu klären. Mit etwas Unterstützung, auch seitens des Migrationsamtes, könne dies gelingen, allerdings könne dies zwei Wochen, einen Monat oder auch ein Jahr dauern, und solange sei er nicht bereit, nach Algerien zu gehen. Wie bereits erläutert, stehen diese Umstände der Haft nicht entgegen. Allenfalls kann das Migrationsamt den Beurteilten mit geeigneten Mitteln (z.B. Möglichkeit, zu telefonieren) bei seinen Abklärungen unterstützen. Dass die Haft andauert, ist somit einzig auf das Verhalten des Beurteilten zurückzuführen. Ein milderes Mittel als die angeordnete Haft ist zur Sicherstellung des Wegweisungsvollzugs nicht ersichtlich. Die 3-monatige Haft erweist sich somit als recht- und verhältnismässig und ist zu bestätigen.</w:t>
      </w:r>
    </w:p>
    <w:p>
      <w:r>
        <w:t>Demgemäss erkenntder Einzelrichter:</w:t>
      </w:r>
    </w:p>
    <w:p>
      <w:r>
        <w:t>://:        Die über A____ angeordnete Ausschaffungshaft ist bis 23. Mai 2018 rechtmässig.</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