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AUS.2018.2 vom 5. Januar 2018</w:t>
      </w:r>
    </w:p>
    <w:p>
      <w:r>
        <w:t>BS Appellationsgericht, 2018-01-05, DE</w:t>
      </w:r>
    </w:p>
    <w:p>
      <w:r>
        <w:rPr>
          <w:b/>
        </w:rPr>
        <w:t xml:space="preserve">Quelle: </w:t>
      </w:r>
      <w:r>
        <w:t>https://mcp.opencaselaw.ch/entscheid/bs_appellationsgericht_AUS.2018.2</w:t>
      </w:r>
    </w:p>
    <w:p>
      <w:r>
        <w:t>FR: BS_APPELLATIONSGERICHT AUS.2018.2 du 5 janvier 2018</w:t>
      </w:r>
    </w:p>
    <w:p>
      <w:r>
        <w:t>IT: BS_APPELLATIONSGERICHT AUS.2018.2 del 5 gennaio 2018</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des Migrationsamt vom 5. Oktober 2017 aus der Schweiz weggewiesen. Dass er die Unterschrift betreffend die Kenntnisnahme verweigert hat, ändert nichts an der rechtsgültigen Eröffnung der Verfügung, hätte es der Betroffene ansonsten doch in der Hand, deren Wirkung mit einem solchen Verhalten zu unterlaufen. Ein Wegweisungstitel liegt damit vor. Dieser ist unangefochten in Rechtskraft erwachsen.</w:t>
      </w:r>
    </w:p>
    <w:p>
      <w:r>
        <w:rPr>
          <w:b/>
        </w:rPr>
        <w:t>E. 3</w:t>
      </w:r>
    </w:p>
    <w:p>
      <w:r>
        <w:t>3.1Nach den gesetzlichen Vorschriften kann ein Ausländer zur Sicherstellung des</w:t>
      </w:r>
    </w:p>
    <w:p>
      <w:r>
        <w:t>Vollzugs eines eröffneten erstinstanzlichen Weg- oder Ausweisungsentscheids oder einer erstinstanzlichen Landesverweisung nach Artikel 66a oder 66abisStrafgesetzbuch (StGB, SR 311) insbesondere in Haft genommen werden, wenn Gründe nach Art. 76 Abs. 1 lit. b Ziff. 1 i.V.m. Art. 75 Abs. 1 lit. b, c, g oder h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(Art. 76 Abs. 1 lit. b Ziff. 3 und 4 AuG).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Inhaftnahme mit dem Bestehen einer Untertauchensgefahr. Den begründenden Ausführungen dazu im zu überprüfenden Entscheid ist vollumfänglich zuzustimmen und es kann darauf verwiesen werden. A____ bewegt sich seit nun bald 10 Jahren immer wieder unkontrolliert im Schengenraum, wobei er in der nahen Vergangenheit zweimal von den niederländischen Behörden wieder in die Schweiz rücküberstellt werden musste. Den Ausgang des im Jahr 2010 gestellten Asylgesuchs hat er nicht abgewartet, weshalb wegen Untertauchens und damit wegen Verletzung elementarer Verpflichtungen im Asylverfahren ein Nichteintretensentscheid gefällt wurde. Entgegen zeitweiser Zusicherungen, die Schweiz freiwillig zu verlassen, hat er sich nie selbständig um die Ausstellung von Reisepapieren bei den algerischen Behörden bemüht und musste ein bereits gebuchter Flug für die Rückreise nach Algerien aufgrund seines verweigernden Verhaltens annulliert werden. Ausserdem hat er sich im Laufe der Zeit diverser Alias-Identitäten bedient. An der Befragung durch das Migrationsamt vom 5. Oktober 2017 gab er ausserdem an, er lehne eine Rückführung nach Algerien ab. Dass A____ in Freiheit nicht mit den Behörden kooperieren sondern untertauchen würde, erscheint vor diesem Hintergrund höchstwahrscheinlich, weshalb der Haftgrund der Untertauchensgefahr gegeben ist. Hinzu kommt, dass A____ wiederholt straffällig wurde und damit auch ein Haftgrund gemäss Art. 76 Abs. 1 lit. a i.V.m. Art. 75 Abs. 1 lit. h AuG vorliegt. Nachdem er offensichtlich immer wieder delinquiert, um seine finanzielle Lage zu verbessern (versuchter Raub, Diebstahl) ist nicht auszuschliessen, dass er dies auf freiem Fuss wieder tun würde. Er gefährdet mit diesem Verhalten die öffentliche Sicherheit. Seine Delinquenz zeigt gleichzeitig, dass er die Schweizer Rechtsordnung nicht respektiert, was ebenfalls den Rückschluss zulässt, dass er nicht mit Behörden kooperiert.</w:t>
      </w:r>
    </w:p>
    <w:p>
      <w:r>
        <w:rPr>
          <w:b/>
        </w:rPr>
        <w:t>E. 4</w:t>
      </w:r>
    </w:p>
    <w:p>
      <w:r>
        <w:t>A____ befand sich vor Zuführung in die Ausschaffungshaft in der Strafhaft. Er hat gemäss den in den Akten befindlichen medizinischen Berichten medizinische Probleme, wobei dem Bericht des Universität Spitals vom 1. Dezember 2017 zu entnehmen ist, dass aufgrund eines Lungenbefundes  gemäss dem behandelnden Arzt möglicherweise unspezifische Veränderungen nach einem entzündlichen Vorgang eine computertomographische Kontrolle in 3 Monaten empfohlen werde. Gemäss den Angaben von A____ und den Angaben der zuständigen Sachbearbeiterin wird A____ in Haft regelmässig medizinisch betreut. Die letzte Kontrolle habe vor zwei Tagen im Spital stattgefunden. Damit spricht nichts gegen die Hafterstehungsfähigkeit des A____.</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5. Januar 2018 bis 4. April 2018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Das vorliegende Urteil wurde an der Verhandlung mündlich begründet und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