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AUS.2017.87 vom 12. Juli 2017</w:t>
      </w:r>
    </w:p>
    <w:p>
      <w:r>
        <w:t>BS Appellationsgericht, 2017-07-12, DE</w:t>
      </w:r>
    </w:p>
    <w:p>
      <w:r>
        <w:rPr>
          <w:b/>
        </w:rPr>
        <w:t xml:space="preserve">Quelle: </w:t>
      </w:r>
      <w:r>
        <w:t>https://mcp.opencaselaw.ch/entscheid/bs_appellationsgericht_AUS.2017.87</w:t>
      </w:r>
    </w:p>
    <w:p>
      <w:r>
        <w:t>FR: BS_APPELLATIONSGERICHT AUS.2017.87 du 12 juillet 2017</w:t>
      </w:r>
    </w:p>
    <w:p>
      <w:r>
        <w:t>IT: BS_APPELLATIONSGERICHT AUS.2017.87 del 12 luglio 2017</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die Person in Haft genommen werden, wenn Gründe nach Art. 76 Abs. 1 lit. b Ziff. 1 i.V.m. Art. 75 Abs. 1 lit. a, b, c, f, g oder h AuG vorliegen, so etwa, wenn die Person wegen eines Verbrechens verurteilt worden ist (Art. 76 Abs. 1 lit. b Ziff. 1 i.V.m. Art. 75 Abs. 1 lit. h AuG), oder wenn sie das Gebiet der Schweiz trotz Einreiseverbot betritt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2</w:t>
      </w:r>
    </w:p>
    <w:p>
      <w:r>
        <w:t>2.1Wie eingangs dargestellt, wurde der Beurteilte vom Strafgericht für 5 Jahre des Landes verwiesen. Das Urteil ist rechtskräftig. Diese Voraussetzung für die Haft ist gegeben.</w:t>
      </w:r>
    </w:p>
    <w:p>
      <w:r>
        <w:t>2.2Mit demselben rechtskräftigen Urteil wurde der Beurteilte wegen eines Verbrechens verurteilt, nämlich wegen gewerbs- und bandenmässigen Diebstahls. Der Haftgrund gemäss Art. 76 Abs. 1 lit. b Ziff. 1 i.V.m. Art. 75 Abs. 1 lit. h AuG ist somit ebenfalls erfüllt.</w:t>
      </w:r>
    </w:p>
    <w:p>
      <w:r>
        <w:t>2.3Auch Untertauchensgefahr ist ohne weiteres zu bejahen, nachdem der Beurteilte sich im gesamten Verfahren ausdrücklich und konstant gegen eine Rückkehr in seine Heimat stellt. Der papierlose Beurteilte, dessen Identität nicht gesichert ist, weigert sich denn konsequenterweise auch standhaft, irgend etwas für die Beschaffung von Reisepapieren zu tun. Anlässlich der heutigen Verhandlung ist er bei dieser Haltung geblieben. Die diversen strafrechtlichen Verfahren in den Kantonen Genf, Zürich und Basel-Stadt wegen Trickdiebstählen zeugen ebenso davon, dass sich der Beurteilte nicht um geltende Regeln kümmert, wie seine illegale Einreise und der fortgesetzte illegale Aufenthalt ohne Papiere.</w:t>
      </w:r>
    </w:p>
    <w:p>
      <w:r>
        <w:rPr>
          <w:b/>
        </w:rPr>
        <w:t>E. 3</w:t>
      </w:r>
    </w:p>
    <w:p>
      <w:r>
        <w:t>Bereits im vom Kanton Genf initiierten Wegweisungsverfahren hat das Staatssekretariat für Migration (SEM) Vollzugsbemühungen unternommen mit dem Ergebnis, dass Marokko gestützt auf die gegebenen Unterlagen den Beurteilten nicht anerkannt hat. Zusätzliche Informationen zur Identität des Beurteilten sind nötig. Wie bereits erwähnt, verweigert der Beurteilte indessen jegliche sachdienlichen Hinweise. Vorgesehen ist nun eine Sprachanalyse. Jedenfalls kann damit der Behörde keine Verletzung des Beschleunigungsgebots vorgehalten werden. Vielmehr hat es der Beurteilte selber in der Hand, die Haft zu verkürzen, indem er an der Papierbeschaffung mitwirkt. Da im Sinne des Gesagten noch nicht alle Mittel ausgeschöpft sind, erscheint zum heutigen Zeitpunkt der Vollzug der Landesverweisung möglich. Bei der gegebenen Sachlage erscheint eine mildere Massnahme als die angeordnete Haft zur Sicherstellung des Wegweisungsvollzugs weder möglich noch zielführend. Insbesondere kann nicht auf den Vorschlag des Beurteilten eingegangen werden, er werde in Freiheit die Schweiz innert 24 Stunden verlassen, denn ohne Papiere darf er das nicht. Die angeordnete Haft ist somit recht- und verhältnismässig und zu bestätigen.</w:t>
      </w:r>
    </w:p>
    <w:p>
      <w:r>
        <w:t>Demgemäss erkenntder Einzelrichter:</w:t>
      </w:r>
    </w:p>
    <w:p>
      <w:r>
        <w:t>://:        Die über A____ angeordnete Ausschaffungshaft ist bis 26. Februar 2018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