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AUS.2017.79 vom 9. Oktober 2017</w:t>
      </w:r>
    </w:p>
    <w:p>
      <w:r>
        <w:t>BS Appellationsgericht, 2017-10-09, DE</w:t>
      </w:r>
    </w:p>
    <w:p>
      <w:r>
        <w:rPr>
          <w:b/>
        </w:rPr>
        <w:t xml:space="preserve">Quelle: </w:t>
      </w:r>
      <w:r>
        <w:t>https://mcp.opencaselaw.ch/entscheid/bs_appellationsgericht_AUS.2017.79</w:t>
      </w:r>
    </w:p>
    <w:p>
      <w:r>
        <w:t>FR: BS_APPELLATIONSGERICHT AUS.2017.79 du 9 octobre 2017</w:t>
      </w:r>
    </w:p>
    <w:p>
      <w:r>
        <w:t>IT: BS_APPELLATIONSGERICHT AUS.2017.79 del 9 ottobre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Im vorliegenden Fall hat sich der Beurteilte bis zum 8. Oktober 2017 im Strafvollzug befunden. Mit der heutigen Verhandlung ist die genannte Frist ohne Weiteres eingehalten. Zuständig zur Überprüfung der Haft ist eine Einzelrichterin am Appellationsgericht als Verwaltungsgericht (vgl. § 2 des Gesetzes über den Vollzug der Zwangsmassnahmen im Ausländerrecht [SG 122.300]).</w:t>
      </w:r>
    </w:p>
    <w:p>
      <w:r>
        <w:rPr>
          <w:b/>
        </w:rPr>
        <w:t>E. 2</w:t>
      </w:r>
    </w:p>
    <w:p>
      <w:r>
        <w:t>Ein Ausländer kann unter anderem zur Sicherstellung des Vollzugs einer erstinstanzlichen Landesverweisung nach Artikel 66a oder 66abisStGB in Ausschaffungshaft versetzt werden (vgl. Art. 76 Abs. 1 AuG). Vorliegend ist A____ mit Urteil vom 10. Juli 2017 durch das Einzelgericht in Strafsachen zu einer fünfjährigen Landesverweisung gemäss Art. 66a Abs. 1 lit. d StGB verurteilt worden. Die erste Voraussetzung für die Anordnung von Ausschaffungshaft liegt somit vor. Durch die Aussprechung der Landesverweisung ist die Vollzugskompetenz vom ehemals aufgrund des Asylverfahrens zuständigen Kanton Thurgau auf den Kanton Basel-Stadt übergegangen. Dessen Migrationsamt ist deshalb auch zuständig zur Anordnung von Ausschaffungshaft, welche den Vollzug der Wegweisung absichern soll.</w:t>
      </w:r>
    </w:p>
    <w:p>
      <w:r>
        <w:rPr>
          <w:b/>
        </w:rPr>
        <w:t>E. 3</w:t>
      </w:r>
    </w:p>
    <w:p>
      <w:r>
        <w:t>3.1Nach den gesetzlichen Vorschriften kann ein Ausländer zur Sicherstellung des Vollzugs eines eröffneten erstinstanzlichen Weg- oder Ausweisungsentscheids insbesondere in Haft genommen werden, wenn Gründe nach Art. 76 Abs. 1 lit. b Ziff. 1 i.V.m. Art. 75 Abs. 1 lit. a, b, c, f, g oder h vorliegen, so etwa wenn gegen eine Einreisesperre für das Gebiet der Schweiz verstossen wird (lit. c) oder der Ausländer wegen eines Verbrechens verurteilt worden ist (lit. h).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w:t>
      </w:r>
    </w:p>
    <w:p>
      <w:r>
        <w:t>3.2Es ist fraglich, ob der Beurteilte mit seinem Verhalten (er ist in der Schweiz verblieben, obschon er sich ein Reisedokument hätte beschaffen können und somit die Möglichkeit zur Ausreise gehabt hätte) den Haftgrund der Missachtung einer Einreisesperre erfüllt. Darauf braucht vorliegend jedoch nicht weiter eingegangen zu werden, da er jedenfalls wegen eines Verbrechens (Diebstahl, Art. 139 StGB) verurteilt worden und auch die Gefahr des Untertauchens offensichtlich gegeben ist. Obschon Algerien ihn als Staatsangehörigen anerkannt und auch schon einmal ein Laissez-Passer für ihn ausgestellt hat, behauptet der Beurteilte, nicht aus Algerien zu stammen, und gibt an, keinesfalls freiwillig dorthin zurückzukehren. Er hat selbst nichts unternommen, um in den Besitz eines Reisedokuments zu gelangen. Das deshalb nicht, weil er in der Schweiz bleiben will. Er gehe in kein anderes Land. Dass er nicht bereit ist, die Schweiz zu verlassen und in seine Heimat zurückzukehren, hat er auch in der heutigen Verhandlung bestätigt. Bei dieser Situation ist die Haft notwendig, um den Vollzug der Wegweisung sicherzustellen. Ein milderes Mittel ist nicht ersichtlich. Das Migrationsamt hat bereits während des Strafvollzugs des Beurteilten mit der Organisation der Rückreise begonnen. Das Beschleunigungsgebot ist damit eingehalten. Insgesamt erweist sich die Haft deshalb auch als verhältnismässig und ist zu bestätigen. Das vorliegende Verfahren ist kostenlos (§ 4 Abs. 1 des Gesetzes über den Vollzug der Zwangsmassnahmen im Ausländerrecht).</w:t>
      </w:r>
    </w:p>
    <w:p>
      <w:r>
        <w:t>Demgemäss erkenntdie Einzelrichterin:</w:t>
      </w:r>
    </w:p>
    <w:p>
      <w:r>
        <w:t>://:        Die über A____ angeordnete Ausschaffungshaft ist für drei Monate, das heisst bis zum 8. Januar 2018,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