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AUS.2017.75 vom 25. September 2017</w:t>
      </w:r>
    </w:p>
    <w:p>
      <w:r>
        <w:t>BS Appellationsgericht, 2017-09-25, DE</w:t>
      </w:r>
    </w:p>
    <w:p>
      <w:r>
        <w:rPr>
          <w:b/>
        </w:rPr>
        <w:t xml:space="preserve">Quelle: </w:t>
      </w:r>
      <w:r>
        <w:t>https://mcp.opencaselaw.ch/entscheid/bs_appellationsgericht_AUS.2017.75</w:t>
      </w:r>
    </w:p>
    <w:p>
      <w:r>
        <w:t>FR: BS_APPELLATIONSGERICHT AUS.2017.75 du 25 septembre 2017</w:t>
      </w:r>
    </w:p>
    <w:p>
      <w:r>
        <w:t>IT: BS_APPELLATIONSGERICHT AUS.2017.75 del 25 settembre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Der Beurteilte befindet sich seit dem  24. September 2017 in Ausschaffungshaft, weshalb diese Frist mit der heutigen Verhandlung eingehalten ist. Zuständig zur Überprüfung der Haft ist eine Einzelrichterin am Appellationsgericht als Verwaltungsgericht (vgl. § 2 des Gesetzes über den Vollzug der Zwangsmassnahmen im Ausländerrecht [SG 122.300]).</w:t>
      </w:r>
    </w:p>
    <w:p>
      <w:r>
        <w:rPr>
          <w:b/>
        </w:rPr>
        <w:t>E. 2</w:t>
      </w:r>
    </w:p>
    <w:p>
      <w:r>
        <w:t>Nach den gesetzlichen Vorschriften kann ein Ausländer zur Sicherstellung des Vollzugs eines eröffneten erstinstanzlichen Weg- oder Ausweisungsentscheids insbesondere in Haft genommen werden, wenn Gründe nach Art. 76 Abs. 1 lit. b Ziff. 1 i.V.m. Art. 75 Abs. 1 lit. b, c, g oder h AuG vorliegen, so etwa wenn gegen eine Einreisesperre für das Gebiet der Schweiz verstossen wird (lit. c).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w:t>
      </w:r>
    </w:p>
    <w:p>
      <w:r>
        <w:rPr>
          <w:b/>
        </w:rPr>
        <w:t>E. 2.1</w:t>
      </w:r>
    </w:p>
    <w:p>
      <w:r>
        <w:t>S. 243; 125 II 369 E. 3 b/aa S. 375).</w:t>
      </w:r>
    </w:p>
    <w:p>
      <w:r>
        <w:rPr>
          <w:b/>
        </w:rPr>
        <w:t>E. 3</w:t>
      </w:r>
    </w:p>
    <w:p>
      <w:r>
        <w:t>Der Beurteilte erhielt am 28. April 2017 eine vom 29. April 2017 bis zum 28. April 2020 gültige Einreisesperre für die Schweiz und Liechtenstein, von welcher er unterschriftlich Kenntnis nahm. Dennoch wurde er am 28. Mai, am 17. Juni und am 25. Juni 2017 in Basel durch die Polizei kontrolliert. Insgesamt drei Mal erhielt er die Gelegenheit zur freiwilligen Ausreise aus der Schweiz. Mit seinem Verhalten hat er eindrücklich bewiesen, dass er nicht gewillt ist, sich an die ihm auferlegte Einreisesperre zu halten. Dies hat auch seine Befragung durch das Migrationsamt vom 21. September 2017 ergeben. Dort hat er auf den Vorhalt, dass er nach Italien zurückgeschafft werde, erklärt, er kenne hier in Basel eine Frau, welche er heiraten möchte. Trotz Rückfrage hat er keine Bereitschaft gezeigt, die Schweiz zu verlassen. Auch in der heutigen Verhandlung hat er um Gnade gebeten. Er habe kein Geld für eine Rückkehr nach Italien und in Italien auch keine Unterkunft, wo er bleiben könne. Er wolle hierbleiben und diese Frau heiraten, die er kennengelernt habe. Bei dieser Situation muss davon ausgegangen werden, dass der Beurteilte, wäre er in Freiheit, untertauchen würde. Die Haft erscheint notwendig, um den Vollzug der Wegweisung sicherzustellen. Ein milderes Mittel, das zum gleichen Erfolg führen würde, ist nicht ersichtlich, zumal der Beurteilte keinerlei nähere Angaben zu seiner Unterkunft in Basel und der Frau, die er heiraten möchte, macht. Die Haft ist deshalb rechtmässig und zu bestätigen. Das vorliegende Verfahren ist kosten los (§ 4 Abs. 1 des Gesetzes über den Vollzug der Zwangsmassnahmen im Ausländerrecht).</w:t>
      </w:r>
    </w:p>
    <w:p>
      <w:r>
        <w:t>Demgemäss erkenntdie Einzelrichterin:</w:t>
      </w:r>
    </w:p>
    <w:p>
      <w:r>
        <w:t>://:        Die über A____ angeordnete Ausschaffungshaft ist für drei Monate, das heisst bis zum 22. Dezember 2017,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