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AUS.2017.68 vom 18. August 2017</w:t>
      </w:r>
    </w:p>
    <w:p>
      <w:r>
        <w:t>BS Appellationsgericht, 2017-08-18, DE</w:t>
      </w:r>
    </w:p>
    <w:p>
      <w:r>
        <w:rPr>
          <w:b/>
        </w:rPr>
        <w:t xml:space="preserve">Quelle: </w:t>
      </w:r>
      <w:r>
        <w:t>https://mcp.opencaselaw.ch/entscheid/bs_appellationsgericht_AUS.2017.68</w:t>
      </w:r>
    </w:p>
    <w:p>
      <w:r>
        <w:t>FR: BS_APPELLATIONSGERICHT AUS.2017.68 du 18 août 2017</w:t>
      </w:r>
    </w:p>
    <w:p>
      <w:r>
        <w:t>IT: BS_APPELLATIONSGERICHT AUS.2017.68 del 18 agosto 2017</w:t>
      </w:r>
    </w:p>
    <w:p>
      <w:pPr>
        <w:pStyle w:val="Heading2"/>
      </w:pPr>
      <w:r>
        <w:t>Erwägungen</w:t>
      </w:r>
    </w:p>
    <w:p>
      <w:r>
        <w:rPr>
          <w:b/>
        </w:rPr>
        <w:t>E. 16</w:t>
      </w:r>
    </w:p>
    <w:p>
      <w:r>
        <w:t>August 2017 zu Handen des Migrationsamts aus der Haft entlassen wurde,</w:t>
      </w:r>
    </w:p>
    <w:p>
      <w:r>
        <w:t>dass   das Migrationsamt mit Verfügungen vom 17. August 2017 A____ aus der Schweiz weggewiesen und ihn für die Dauer von 12 Tagen in Ausschaffungshaft gesetzt hat,</w:t>
      </w:r>
    </w:p>
    <w:p>
      <w:r>
        <w:t>dass   gemäss § 2 Gesetz über den Vollzug der Zwangsmassnahmen im Ausländerrecht (SG 122.300) ein Einzelrichter am Appellationsgericht als Verwaltungsgericht für die in Art. 80 Abs. 2 Bundesgesetz über die Ausländerinnen und Ausländer (AuG, SR 142.20) vorgesehene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A____ einen solchen Verzicht schriftlich erklärt hat, wobei der Anwalt, welcher ihm bereits im Strafverfahren zur Seite gestellt wurde, seitens des Migrationsamts über die anstehende Befragung zur Wegweisung und Anordnung der Ausschaffungshaft informiert worden war und dieser auf eine Teilnahme daran verzichtet hatte, dem Anwalt die genannten Verfügungen umgehend nach Erlass per E-Mail Schreiben zugestellt wurden, die unterzeichnende Einzelrichterin für Zwangsmassnahmen im Ausländerrecht den Anwalt am heutigen Tag telefonisch (nochmals) über den unterzeichneten Verzicht auf Durchführung einer mündlichen Haftüberprüfungsverhandlung informierte und er sein Einverständnis damit kundtat,</w:t>
      </w:r>
    </w:p>
    <w:p>
      <w:r>
        <w:t>dass   A____ widerholt erklärt hat, schnellstmöglich in seine Heimat zurückkehren zu wollen,</w:t>
      </w:r>
    </w:p>
    <w:p>
      <w:r>
        <w:t>dass   auch sein Rechtsvertreter zum Ausdruck gebracht hat, dieses Interesse sei nach Rücksprache mit der Familie des A____ vordergründig,</w:t>
      </w:r>
    </w:p>
    <w:p>
      <w:r>
        <w:t>dass   aufgrund dieser Sachlage auf die Durchführung einer mündlichen Verhandlung verzichtet werden kann,</w:t>
      </w:r>
    </w:p>
    <w:p>
      <w:r>
        <w:t>dass   mit der heutigen Überprüfung der Haft im schriftlichen Verfahren die Frist von 96 Stunden für die gerichtliche Haftüberprüfung eingehalten ist (Art. 80 Abs. 2 und 3 AuG),</w:t>
      </w:r>
    </w:p>
    <w:p>
      <w:r>
        <w:t>dass   nach den gesetzlichen Vorschriften ein Ausländer zur Sicherstellung des Vollzugs eines erstinstanzlichen Weg- oder Ausweisungsentscheids oder einer erstinstanzlichen Landesverweisung nach den Art. 66aund 66abisStrafgesetzbuch (StGB, SR 311.0) unter anderem in Haft genommen werden kann, wenn er Personen bedroht oder an Leib und Leben erheblich gefährdet und deshalb strafrechtlich verfolgt wird oder verurteilt worden ist (Art. 76 Abs. 1 lit. b Ziff. 1 i.V.m. Art. 75 Abs. 1 lit g AuG), wenn er wegen eines Verbrechens verurteilt worden ist (Art. 76 Abs. 1 lit. b Ziff. 1 i.V.m. Art. 75 Abs. 1 lit h AuG) oder wenn konkrete Anzeichen befürchten lassen, dass er sich der Ausschaffung entziehen will, insbesondere weil er der Mitwirkungspflicht nach Art. 90 AuG sowie Art. 8 Abs. 1 lit. a oder Abs. 4 Asylgesetz (AsylG, SR 142.31) nicht nachkommt (Art. 76 Abs. 1 lit. b Ziff. 3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das Migrationsamt den Haftgrund der Begehung eines Verbrechens und der Untertauchensgefahr als gegeben erachtet,</w:t>
      </w:r>
    </w:p>
    <w:p>
      <w:r>
        <w:t>dass   der Haftgrund der Begehung eines Verbrechens das Vorliegen eines in Rechtskraft erwachsenen Strafentscheids bedingt (Zünd, in: Spescha et al [Hrsg.], Kommentar Migrationsrecht, 4. Auflage 2015, Art. 75 AuG N 11), was vorliegend nicht der Fall ist (Entscheid datiert vom 16. August 2017, Rechtsmittelfrist beträgt 10 Tage),</w:t>
      </w:r>
    </w:p>
    <w:p>
      <w:r>
        <w:t>dass   gemäss langjähriger Gerichtspraxis allerdings der Handel mit Betäubungsmitteln unter die Haftbestimmung der Gefährdung von Personen an Leib und Leben fällt, wobei es dazu keiner bereits rechtskräftigen Verurteilung bedarf, sondern allein die eingeleitete Strafverfolgung genügen kann (Zünd, a.a.O., Art. 75 AuG N 10),</w:t>
      </w:r>
    </w:p>
    <w:p>
      <w:r>
        <w:t>dass   folglich gegen den wegen mehrfacher qualifizierter Widerhandlung gegen das BetmG verurteilten A____ ein Haftgrund gemäss Art. 76 Abs. 1 lit. b Ziff. 1 i.V.m. Art. 75 Abs. 1 lit g AuG vorliegt,</w:t>
      </w:r>
    </w:p>
    <w:p>
      <w:r>
        <w:t>dass   zusätzlich auch der Haftgrund der Untertauchensgefahr gegeben ist, nachdem A____ als Mitglied einer gut organisierten Bande handelte,</w:t>
      </w:r>
    </w:p>
    <w:p>
      <w:r>
        <w:t>dass   dieser Umstand die Gefahr in sich birgt, dass er in Freiheit und (wieder) in den Fängen der Bande sich nicht an die Anweisungen der Migrationsbehörden halten und untertauchen würde, auch wenn er aussagt, er wolle schnellst möglich nach Hause,</w:t>
      </w:r>
    </w:p>
    <w:p>
      <w:r>
        <w:t>dass   deshalb keine mildere Massnahme als die angeordnete Haft zur Sicherstellung des Wegweisungsvollzugs zweckmässig erscheint und das Beschleunigungsgebot gewahrt ist, zumal ein Rückflug bereits für den morgigen Samstag, 19. August 2017, 10:40 Uhr, gebucht wurde, womit sich die Haft gegenüber dem jugendlichen Ausländer als rechtmässig und verhältnismässig erweist (vgl. § 8 Abs. 1 lit. a Gesetz über den Vollzug der Zwangsmassnahmen im Ausländerrecht),</w:t>
      </w:r>
    </w:p>
    <w:p>
      <w:r>
        <w:t>dass   A____ aufgrund seines jugendlichen Alters eine rechtliche Verbeiständung zusteht (§ 3 Abs. 3 und § 8 Gesetz über den Vollzug der Zwangsmassnahmen im Ausländerrecht),</w:t>
      </w:r>
    </w:p>
    <w:p>
      <w:r>
        <w:t>dass   der Rechtsanwalt gemäss der dazu eingereichten Honorarnote zu entschädigen ist,</w:t>
      </w:r>
    </w:p>
    <w:p>
      <w:r>
        <w:t>dass   das Verfahren kostenlos ist (§ 4 Abs. 1 Gesetz über den Vollzug der Zwangsmassnahmen im Ausländerrecht).</w:t>
      </w:r>
    </w:p>
    <w:p>
      <w:r>
        <w:t>erkennt die Einzelrichterin:</w:t>
      </w:r>
    </w:p>
    <w:p>
      <w:r>
        <w:t>://:        Auf die Durchführung einer mündlichen Verhandlung wird verzichtet.</w:t>
      </w:r>
    </w:p>
    <w:p>
      <w:r>
        <w:t>Die über A____ angeordnete Ausschaffungshaft ist vom 16. August 2017, 17:30 Uhr, bis zum 28. August 2017, 17:30 Uhr, rechtmässig und angemessen.</w:t>
      </w:r>
    </w:p>
    <w:p>
      <w:r>
        <w:t>Dem Rechtsvertreter des A____, [...], ist ein Honorar von CHF 300. und ein Auslagenersatz von CHF 8.50, zuzüglich 8% MWST von CHF 24.70, aus der Gerichtskasse zu bezahlen.</w:t>
      </w:r>
    </w:p>
    <w:p>
      <w:r>
        <w:t>Es werden keine Kosten erhoben.</w:t>
      </w:r>
    </w:p>
    <w:p>
      <w:r>
        <w:t>Das Migrationsamt wird angewiesen, A____ das vorliegende Urteil in einer für ihn verständlichen Sprache zu eröffnen.</w:t>
      </w:r>
    </w:p>
    <w:p>
      <w:r>
        <w:t>Mitteilung an:</w:t>
      </w:r>
    </w:p>
    <w:p>
      <w:r>
        <w:t>- A____ (direkt sowie an Rechtsvertreter)</w:t>
      </w:r>
    </w:p>
    <w:p>
      <w:r>
        <w:t>- Migrationsamt</w:t>
      </w:r>
    </w:p>
    <w:p>
      <w:r>
        <w:t>- Staatssekretariat für Migration</w:t>
      </w:r>
    </w:p>
    <w:p>
      <w:r>
        <w:t>VERWALTUNGSGERICHT BASEL-STADT</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