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AUS.2017.48 vom 7. Juli 2017</w:t>
      </w:r>
    </w:p>
    <w:p>
      <w:r>
        <w:t>BS Appellationsgericht, 2017-07-07, DE</w:t>
      </w:r>
    </w:p>
    <w:p>
      <w:r>
        <w:rPr>
          <w:b/>
        </w:rPr>
        <w:t xml:space="preserve">Quelle: </w:t>
      </w:r>
      <w:r>
        <w:t>https://mcp.opencaselaw.ch/entscheid/bs_appellationsgericht_AUS.2017.48</w:t>
      </w:r>
    </w:p>
    <w:p>
      <w:r>
        <w:t>FR: BS_APPELLATIONSGERICHT AUS.2017.48 du 7 juillet 2017</w:t>
      </w:r>
    </w:p>
    <w:p>
      <w:r>
        <w:t>IT: BS_APPELLATIONSGERICHT AUS.2017.48 del 7 luglio 2017</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w:t>
      </w:r>
    </w:p>
    <w:p>
      <w:r>
        <w:t>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Hinsichtlich der Wegweisung und des Haftgrundes der Untertauchensgefahr ist auf das Urteil AUS.2017.24 vom 20. März 2017 E. 2 zu verweisen. Anzufügen bleibt, dass die Wegweisungsverfügung nicht angefochten worden und damit in Rechtskraft erwachsen ist, und dass der Beurteilte gemäss seinen Darlegungen dem Migrationsamt gegenüber sowie anlässlich der heutigen Verhandlung nach wie vor und unter keinen Umständen bereit ist, die Schweiz in Richtung Algerien zu verlassen. Dies hat er mit seiner Weigerung, den Flug vom 26. Mai 2017 anzutreten, zusätzlich unmissverständlich manifestiert. Damit ist Untertauchensgefahr nach wie vor gegeben.</w:t>
      </w:r>
    </w:p>
    <w:p>
      <w:r>
        <w:rPr>
          <w:b/>
        </w:rPr>
        <w:t>E. 3</w:t>
      </w:r>
    </w:p>
    <w:p>
      <w:r>
        <w:t>3.1Das Bundesgericht hat den Anspruch auf einen wirksame Verbeiständung in BGE 139 I 206 folgendermassen zusammengefasst:</w:t>
      </w:r>
    </w:p>
    <w:p>
      <w:r>
        <w:t>3.1 Der inhaftierte Ausländer hat Anspruch darauf, mit dem von ihm bezeichneten Rechtsvertreter mündlich und schriftlich zu verkehren (Art. 81 Abs. 1 AuG). Ist er im Verfahren vor dem Haftrichter nicht vertreten, weil die Behörden nichts unternommen haben, um ihm den Kontakt zu ermöglichen, bzw. weil sie seinen Anwalt nicht über die Festhaltung oder den Hafttermin informiert haben, verletzt dies den Anspruch auf rechtliches Gehör (so Urteile 2A.236/2002 vom 27. Mai 2002 E. 2 und 3, in: Pra 2002 Nr. 142 S. 769 ff.; 2A.346/2006 vom</w:t>
      </w:r>
    </w:p>
    <w:p>
      <w:r>
        <w:rPr>
          <w:b/>
        </w:rPr>
        <w:t>E. 4</w:t>
      </w:r>
    </w:p>
    <w:p>
      <w:r>
        <w:t>Bei diesem Ergebnis kann offen gelassen werden, ob nach der Verweigerung des Flugs vom 26. Mai 2017 durch den Beurteilten ein DEPA (Stufe 2) Flug  die einzige verbleibende Möglichkeit zur Sicherstellung des Wegweisungsvollzugs, nachdem Level 3 und 4 nicht möglich ist  überhaupt zielführend ist. Das Migrationsamt geht offenbar selber nicht davon aus, und dies mit gutem Grund, hat sich der Beurteilte doch bereits im Jahre 2004 erfolgreich gegen einen solchen Wegweisungsvollzug gewehrt, indem er im Flugzeug dem Begleitpolizisten derart in die Beine getreten hat, dass beide das Flugzeug verlassen mussten. In der Haftverfügung äussert sich das Migrationsamt zu dieser Thematik nicht.</w:t>
      </w:r>
    </w:p>
    <w:p>
      <w:r>
        <w:t>Demgemäss erkenntder Einzelrichter:</w:t>
      </w:r>
    </w:p>
    <w:p>
      <w:r>
        <w:t>://:        Die über A____ verfügte Ausschaffungshaft ist unzulässig. Er ist aus der Haft zu entlassen.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