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AUS.2016.92 vom 7. November 2016</w:t>
      </w:r>
    </w:p>
    <w:p>
      <w:r>
        <w:t>BS Appellationsgericht, 2016-11-07, DE</w:t>
      </w:r>
    </w:p>
    <w:p>
      <w:r>
        <w:rPr>
          <w:b/>
        </w:rPr>
        <w:t xml:space="preserve">Quelle: </w:t>
      </w:r>
      <w:r>
        <w:t>https://mcp.opencaselaw.ch/entscheid/bs_appellationsgericht_AUS.2016.92</w:t>
      </w:r>
    </w:p>
    <w:p>
      <w:r>
        <w:t>FR: BS_APPELLATIONSGERICHT AUS.2016.92 du 7 novembre 2016</w:t>
      </w:r>
    </w:p>
    <w:p>
      <w:r>
        <w:t>IT: BS_APPELLATIONSGERICHT AUS.2016.92 del 7 novembre 2016</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eine Einzelrichterin am Appellationsgericht als Verwaltungsgericht (vgl. § 2 des Gesetzes über den Vollzug der Zwangsmassnahmen im Ausländerrecht [SG 122.300]).</w:t>
      </w:r>
    </w:p>
    <w:p>
      <w:r>
        <w:rPr>
          <w:b/>
        </w:rPr>
        <w:t>E. 2</w:t>
      </w:r>
    </w:p>
    <w:p>
      <w:r>
        <w:t>Ein Ausländer kann zur Sicherstellung eines erstinstanzlich ergangenen Wegweisungsentscheids in Haft genommen werden, wenn Gründe nach Art. 76 Abs. 1 lit. b Ziff. 1 i.V.m. Art. 75 Abs. 1 lit. a, b, c, f, g oder h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(Art. 76 Abs. 1 lit. b Ziff. 3 und 4 AuG)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w:t>
      </w:r>
    </w:p>
    <w:p>
      <w:r>
        <w:rPr>
          <w:b/>
        </w:rPr>
        <w:t>E. 2.1</w:t>
      </w:r>
    </w:p>
    <w:p>
      <w:r>
        <w:t>S. 243, 125 II 369 E. 3 b/aa S. 375). Untertauchensgefahr ist auch zu bejahen bei eigentlichen Täuschungsmanövern, um die Identität zu verschleiern bzw. die Papierbeschaffung zu erschweren (z.B. Verwendung gefälschter Papiere, Auftreten unter mehreren Namen).</w:t>
      </w:r>
    </w:p>
    <w:p>
      <w:r>
        <w:rPr>
          <w:b/>
        </w:rPr>
        <w:t>E. 3</w:t>
      </w:r>
    </w:p>
    <w:p>
      <w:r>
        <w:t>A____ hat sich trotz gültiger Einreisesperre in die Schweiz begeben und sich hier anlässlich einer Kontrolle mit einem gefälschten schweizerischen Aufenthaltstitel ausgewiesen. Er ist bezüglich der Fälschung von Ausweisen vorbestraft und musste bereits vor anderthalb Jahren zwangsweise in seine Heimat ausgeschafft werden. All dies macht deutlich, dass A____ nicht bereit ist, freiwillig in seine Heimat zurück zu kehren, und diesbezügliche Anordnungen der Behörden zu befolgen. Die Haft erweist sich klarerweise als notwendig, um den Vollzug der Wegweisung sicher zu stellen. Ein milderes Mittel, welches diesen Zweck ebenso erfüllen könnte, ist nicht ersichtlich. Die Anordnung der Haft ist damit rechtmässig und zu bestätigen.</w:t>
      </w:r>
    </w:p>
    <w:p>
      <w:r>
        <w:rPr>
          <w:b/>
        </w:rPr>
        <w:t>E. 4</w:t>
      </w:r>
    </w:p>
    <w:p>
      <w:r>
        <w:t>In der heutigen Verhandlung hat der Beurteilte darum gebeten, nach Frankreich zurückkehren zu können. Er habe dort ein Asylgesuch eingereicht und hätte heute einen Termin bei der Behörde gehabt. Falls eine Rückübernahme durch Frankreich nicht von vorneherein ausgeschlossen werden kann, wird das Migrationsamt gebeten, die erforderlichen Abklärungen bei den französischen Behörden einzuleiten.</w:t>
      </w:r>
    </w:p>
    <w:p>
      <w:r>
        <w:rPr>
          <w:b/>
        </w:rPr>
        <w:t>E. 5</w:t>
      </w:r>
    </w:p>
    <w:p>
      <w:r>
        <w:t>Das vorliegende Verfahren ist gemäss § 4 Abs. 1 des Gesetzes über den Vollzug der Zwangsmassnahmen im Ausländerrecht kostenlos.</w:t>
      </w:r>
    </w:p>
    <w:p>
      <w:r>
        <w:t>Demgemäss erkenntdie Einzelrichterin:</w:t>
      </w:r>
    </w:p>
    <w:p>
      <w:r>
        <w:t>://:        Die über A____ angeordnete Ausschaffungshaft ist für die Dauer von 3 Monaten, d.h. bis 3. Februar 2017, rechtmässig.</w:t>
      </w:r>
    </w:p>
    <w:p>
      <w:r>
        <w:t>Es werden keine Kosten erhoben.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