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AUS.2016.88 vom 27. Oktober 2016</w:t>
      </w:r>
    </w:p>
    <w:p>
      <w:r>
        <w:t>BS Appellationsgericht, 2016-10-27, DE</w:t>
      </w:r>
    </w:p>
    <w:p>
      <w:r>
        <w:rPr>
          <w:b/>
        </w:rPr>
        <w:t xml:space="preserve">Quelle: </w:t>
      </w:r>
      <w:r>
        <w:t>https://mcp.opencaselaw.ch/entscheid/bs_appellationsgericht_AUS.2016.88</w:t>
      </w:r>
    </w:p>
    <w:p>
      <w:r>
        <w:t>FR: BS_APPELLATIONSGERICHT AUS.2016.88 du 27 octobre 2016</w:t>
      </w:r>
    </w:p>
    <w:p>
      <w:r>
        <w:t>IT: BS_APPELLATIONSGERICHT AUS.2016.88 del 27 ottobre 2016</w:t>
      </w:r>
    </w:p>
    <w:p>
      <w:pPr>
        <w:pStyle w:val="Heading2"/>
      </w:pPr>
      <w:r>
        <w:t>Erwägungen</w:t>
      </w:r>
    </w:p>
    <w:p>
      <w:r>
        <w:rPr>
          <w:b/>
        </w:rPr>
        <w:t>E. 1</w:t>
      </w:r>
    </w:p>
    <w:p>
      <w:r>
        <w:t>Gemäss Art. 80 Abs. 2 Ausländergesetz (AuG,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A____ wurde mit Verfügung vom 19. Oktober 2016 erneut aus der Schweiz weggewiesen, nachdem er diese bereits im März 2016 verlassen musste. Ausserdem ist unklar, ob er die Schweiz im März tatsächlich verlassen hat (vgl. unten Ziff. 3.2). Jedenfalls liegt ein gültiger Wegweisungstitel vor.</w:t>
      </w:r>
    </w:p>
    <w:p>
      <w:r>
        <w:rPr>
          <w:b/>
        </w:rPr>
        <w:t>E. 3</w:t>
      </w:r>
    </w:p>
    <w:p>
      <w:r>
        <w:t>3.1Nach den gesetzlichen Vorschriften kann ein Ausländer zur Sicherstellung des</w:t>
      </w:r>
    </w:p>
    <w:p>
      <w:r>
        <w:t>Vollzugs eines eröffneten erstinstanzlichen Weg- oder Ausweisungsentscheids insbesondere in Haft genommen werden, wenn Gründe nach Art. 76 Abs. 1 lit. b Ziff. 1 i.V.m. Art. 75 Abs. 1 lit. b, c, g oder h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Dass der Betroffene einer Ausreiseanordnung nicht Folge geleistet hat und sich illegal in der Schweiz aufhält, genügt hierfür allein allerdings nicht, ebenso wenig wie die Tatsache, dass er keine Papiere besitzt und nur mangelhaft an deren Beschaffung mitwirkt. Die Passivität des Ausländers kann jedoch, gleich wie das Fehlen eines festen Aufenthaltsorts oder die Mittellosigkeit, ein weiterer Hinweis dafür sein, dass er sich der Ausschaffung entziehen will (BGE 129 I 139 E 4.2.1 S. 146 f.).</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Ausländerrecht, Uebersax et al. [Hrsg.], 2. Auflage 2009, Rz. 10.94; Entscheid des Verwaltungsgerichts ZH VB.2014.00104 E. 4.3).</w:t>
      </w:r>
    </w:p>
    <w:p>
      <w:r>
        <w:t>3.2Das Migrationsamt begründet die angeordnete Haft in Anwendung von Art 76 Abs. 1 lit. b Ziff. 3 und 4 AuG mit dem Vorliegen einer Untertauchensgefahr. Den Ausführungen des Migrationsamts ist in jeder Hinsicht zuzustimmen. So ist unklar, ob A____ nach dem Verlust seines Aufenthaltsrechts und der Anordnung, bis spätestens 9. März 2016 aus der Schweiz auszureisen, überhaupt mit der Absicht, die Schweiz endgültig zu verlassen, aus der Schweiz ausgereist ist. Diesbezüglich vermag er nämlich einzig zu belegen, dass er am 10. März 2016 den Zoll in Riehen Richtung Deutschland überschritten hat. Gemäss Notiz des Zollbeamten behauptete er aber bei der (angeblichen) Ausreise, den Ausländerausweis verloren zu haben und hat diesen entsprechend nicht abgegeben. Zu Recht stellt das Migrationsamt in der Haftanordnungsverfügung auch fest, dass seine Angaben betreffend seinen Aufenthaltsort seit März und bis Oktober 2016 widersprüchlich sind. Jedenfalls wurde A____ bereits am 18. Oktober 2016 in Basel wegen Ladendiebstahls von der Polizei festgenommen und schliesslich mit Strafbefehl vom 19. Oktober 2016 wegen geringfügigen Diebstahls und Diensterschwerung zu einer Busse von CHF 700. verurteilt. Gestohlen hatte er in einem Baumarkt eine Taschenlampe, Handschuhe und einen Seitenschneider, was den Verdacht nahe legt, dass er damit weitere Vermögensdelikte begehen wollte. Ausserdem versteckte er bei seiner Festnahme seinen Ausweis und gab gegenüber den Polizeibeamten falsche Personalien an. Trotz der seitens des Migrationsamts mit Verfügungen vom 19. Oktober 2016 ausgesprochenen sofortigen Wegweisung und dem Einreiseverbot in die Schweiz und den ganzen Schengenraum hat er die Schweiz seither nicht verlassen. A____ war gemäss eigenen Angaben vor über 10 Jahren schwer drogensüchtig und wurde am 26. Oktober 2016 vor der Kontakt- und Anlaufstelle für Drogensüchtige polizeilich kontrolliert und festgenommen. Heute führt er aus, dass er seit zwei Jahren wieder Heroin abhängig sei. A____ ist ausserdem mittelos. Die Gesamtheit der Umstände legt nahe, dass A____ behördliche Anordnungen und die Schweizer Rechtsordnung in keiner Weise respektiert und sich im Falle seiner Freilassung weiterhin illegal in der Schweiz aufhalten bzw. untertauchen würde. Die Annahme, dass er in Freiheit nicht kooperiert, verschärft sich durch seine aktuelle Suchtproblematik. Der Haftgrund der Untertauchensgefahr gemäss Art. 76 Abs. 1 lit. b Ziff. 3 und 4 AuG liegt vor.</w:t>
      </w:r>
    </w:p>
    <w:p>
      <w:r>
        <w:t>3.3A____ führt aus, dass er in der Inhaftierung unter Heroinentzugssymptomen leide. Es sei ihm deshalb in der letzten Nacht sehr schlecht gegangen, er habe Suizidgedanken gehabt und sei deshalb in die Überwachungszelle verlegt worden. Jetzt gehe es ihm wieder besser. Den ärztlichen Dienst des Gefängnisses habe er informiert und er erhalte Medikamente gegen die Entzugssymptome. Aufgrund der ärztlichen Betreuung im Gefängnis kann davon ausgegangen werden, dass A____ trotz der Entzugsproblematik hafterstehungsfähig ist. Das Gefängnispersonal hat ihn indessen entsprechend dieser Problematik zu betreuen und der ärztliche Dienst ihn regelmässig zu visitieren bzw. die Hafterstehungsfähigkeit ist laufend zu überprüfen.</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1S. 58 und BGE 125 II 369 E. 3a S. 374 f.).</w:t>
      </w:r>
    </w:p>
    <w:p>
      <w:r>
        <w:t>4.2Dem Migrationsamt war bis zur heutigen Verhandlung nicht bekannt, dass A____ aktuell drogensüchtig ist. In der Wegweisungsverfügung fehlen entsprechend Ausführungen betreffend die Zumutbarkeit derselben unter diesen Umständen. Auf die Frage des Gerichts, wie die diesbezügliche Praxis des Migrationsamts sei, konnte die zuständige Sachbearbeiterin keine Auskunft geben. Die Haft ist deshalb einzig für eine Woche zu bestätigen (s. auch unten Ziff. 4.3). Soweit es zu einer Haftverlängerung kommt, wird das Migrationsamt aufgefordert, diesbezüglich Stellung zu nehmen.</w:t>
      </w:r>
    </w:p>
    <w:p>
      <w:r>
        <w:t>4.3Das Migrationsamt hat die Haft für die Dauer von einem Monat angeordnet. A____ verfügt über gültige Reisedokumente, weshalb eine Ausschaffung nach Serbien erfahrungsgemäss rasch vollzogen werden kann. Allerdings stellt sich auch die Frage, inwiefern A____ transportfähig ist. Dies ist seitens des Migrationsamt vorgängig der Reiseorganisation abzuklären. Die Haft ist auch deswegen nur für kurze Zeit zu bestätigen. Die angeordnete Haft erweist sich damit einzig für die Dauer einer Woche als rechtmässig und angemessen.</w:t>
      </w:r>
    </w:p>
    <w:p>
      <w:r>
        <w:rPr>
          <w:b/>
        </w:rPr>
        <w:t>E. 5</w:t>
      </w:r>
    </w:p>
    <w:p>
      <w:r>
        <w:t>Es werden keine Kosten erhoben (§ 4 Gesetz über den Vollzug der Zwangsmassnahmen im Ausländerrecht, SG, 122.300).</w:t>
      </w:r>
    </w:p>
    <w:p>
      <w:r>
        <w:t>Demgemäss erkenntdie Einzelrichterin:</w:t>
      </w:r>
    </w:p>
    <w:p>
      <w:r>
        <w:t>://:        Die über A____ angeordnete Ausschaffungshaft ist vom 26. Oktober bis 2. November 2016, 20:00 Uhr, rechtmässig und angemessen.</w:t>
      </w:r>
    </w:p>
    <w:p>
      <w:r>
        <w:t>Die medizinische Betreuung von A____ in der Haft ist sicherzustellen und seine Hafterstehungsfähigkeit laufend zu überprüfen.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