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AUS.2016.79 vom 30. September 2016</w:t>
      </w:r>
    </w:p>
    <w:p>
      <w:r>
        <w:t>BS Appellationsgericht, 2016-09-30, DE</w:t>
      </w:r>
    </w:p>
    <w:p>
      <w:r>
        <w:rPr>
          <w:b/>
        </w:rPr>
        <w:t xml:space="preserve">Quelle: </w:t>
      </w:r>
      <w:r>
        <w:t>https://mcp.opencaselaw.ch/entscheid/bs_appellationsgericht_AUS.2016.79</w:t>
      </w:r>
    </w:p>
    <w:p>
      <w:r>
        <w:t>FR: BS_APPELLATIONSGERICHT AUS.2016.79 du 30 septembre 2016</w:t>
      </w:r>
    </w:p>
    <w:p>
      <w:r>
        <w:t>IT: BS_APPELLATIONSGERICHT AUS.2016.79 del 30 settembre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sollte die Schweiz seit Erhalt eines negativen Asylentscheids im April 1994 verlassen. Zudem hat ihn das Migrationsamt mit Verfügung vom 27. September 2016 aus der Schweiz weggewiesen. Damit liegt ein rechtsgenüglicher Wegweisungstitel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angeordnete Ausschaffungshaft mit dem Vorliegen einer Untertauchensgefahr (Art. 76 Abs. 1 lit. b Ziff. 3 und 4 AuG). Die Rechtsvertreterin bestreitet das Bestehen einer solchen Gefahr. A____ habe sich einzig passiv verhalten, was nicht ausreiche um eine Haft anzuordnen. Die falschen Identitäten habe er einzig bei zwei Kontrollen und aus Angst vor einer Ausweisung benutzt. Im Falle seiner Freilassung habe er vor, in die Moschee zurück zu kehren und sich den Behörden zur Verfügung zu halten.</w:t>
      </w:r>
    </w:p>
    <w:p>
      <w:r>
        <w:t>3.3Den Ausführungen in der Verfügung des Migrationsamts ist umfassend zuzustimmen. A____ hätte die Schweiz bereits im Jahr 1994 verlassen müssen und gilt seit dem 10. September 1994 als verschwunden. In seinem Zimmer in der Moschee wurde eine französische Identitätskarte lautend auf den Namen B____ gefunden, welche sich A____ nach eigenen Angaben im Jahr 2002 gekauft habe, um sich bei einer Kontrolle mit einer falschen Identität ausweisen zu können. Dies habe er auch einmal bei einer Kontrolle getan. Des Weiteren verfügte er über eine Versicherungsbescheinigung lautend auf den Namen [] . Dass er diese einzig gefunden und zur Rückgabe an den Betroffenen aufgehoben haben will, erscheint als Schutzbehauptung. Des Weiteren wurde A____ im Jahr 1997 polizeilich als [.] aus Indien, geb. am [...], erfasst und ist gemäss polizeilicher Erfassung auch unter dem Aliasnamen [], geb. am [...], aufgetreten. A____ sagt zudem aus, er wolle nicht in seine Heimat. Er lebe seit über 20 Jahren in der Schweiz und wolle hier bleiben. Es ist offensichtlich, dass  A____ einen illegalen Aufenthalt in der Schweiz einer Rückkehr in die Heimat vorzieht und er in Freiheit untertauchen würde, wie er dies in den vergangen 22 Jahren anscheinend erfolgreich getan hat. Mit seiner Kooperation ist entgegen den Ausführungen seiner Anwältin in Freiheit nicht zu rechnen, dies umso mehr, als nun sein Versteck in der Moschee den Behörden bekannt geworden ist. Der Rechtsvertreterin ist auch nicht zuzustimmen, wenn sie ausführt, er habe lediglich nicht an seiner Rückkehr in die Heimat mitgewirkt. Mit der Angabe falscher Identitäten und dem Kauf einer falschen Identitätskarte hat er im Gegenteil aktiv Vorkehrungen getroffen, um bei einer Polizeikontrolle nicht identifiziert zu werden. Damit ist der Haftgrund der Untertauchensgefahr gegeben.</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4.2A____ hat vor seiner Festnahme in der Moschee gewohnt und dort als Abwart und Koch gearbeitet. Er hat keine Familie, die von seiner Inhaftierung (mit)betroffen ist. Ein milderes Mittel zur Absicherung des Wegweisungsvollzugs ist nicht ersichtlich und die Ausschaffungshaft erweist sich als verhältnismässig. Das Migrationsamt hat die Haft für die Dauer von drei Monaten angeordnet, was angesichts der Notwendigkeit Ersatzreisepapiere für A____ zu organisieren in zeitlicher Hinsicht nicht zu beanstanden ist. Die angeordnete Ausschaffungshaft ist zu bestätigen.</w:t>
      </w:r>
    </w:p>
    <w:p>
      <w:r>
        <w:rPr>
          <w:b/>
        </w:rPr>
        <w:t>E. 5</w:t>
      </w:r>
    </w:p>
    <w:p>
      <w:r>
        <w:t>Es werden keine Kosten erhoben (§ 4 Gesetz über den Vollzug der Zwangsmassnahmen im Ausländerrecht, SG, 122.300). Bei diesem Ausgang des Verfahrens unterliegt A____, weshalb ihm keine Parteientschädigung zuzusprechen ist.</w:t>
      </w:r>
    </w:p>
    <w:p>
      <w:r>
        <w:t>Demgemäss erkenntdie Einzelrichterin:</w:t>
      </w:r>
    </w:p>
    <w:p>
      <w:r>
        <w:t>://:        Die über A____ angeordnete Ausschaffungshaft ist vom 27. September 2016 bis 26. Dezember 2016 rechtmässig und angemessen.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