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AUS.2016.63 vom 17. August 2016</w:t>
      </w:r>
    </w:p>
    <w:p>
      <w:r>
        <w:t>BS Appellationsgericht, 2016-08-17, DE</w:t>
      </w:r>
    </w:p>
    <w:p>
      <w:r>
        <w:rPr>
          <w:b/>
        </w:rPr>
        <w:t xml:space="preserve">Quelle: </w:t>
      </w:r>
      <w:r>
        <w:t>https://mcp.opencaselaw.ch/entscheid/bs_appellationsgericht_AUS.2016.63</w:t>
      </w:r>
    </w:p>
    <w:p>
      <w:r>
        <w:t>FR: BS_APPELLATIONSGERICHT AUS.2016.63 du 17 août 2016</w:t>
      </w:r>
    </w:p>
    <w:p>
      <w:r>
        <w:t>IT: BS_APPELLATIONSGERICHT AUS.2016.63 del 17 agosto 2016</w:t>
      </w:r>
    </w:p>
    <w:p>
      <w:pPr>
        <w:pStyle w:val="Heading2"/>
      </w:pPr>
      <w:r>
        <w:t>Erwägungen</w:t>
      </w:r>
    </w:p>
    <w:p>
      <w:r>
        <w:rPr>
          <w:b/>
        </w:rPr>
        <w:t>E. 17</w:t>
      </w:r>
    </w:p>
    <w:p>
      <w:r>
        <w:t>August 2016 aus der Schweiz weggewiesen und für die Dauer 12 Tagen in Ausschaffungshaft gesetzt wurde,</w:t>
      </w:r>
    </w:p>
    <w:p>
      <w:r>
        <w:t>dass   gemäss § 2 des Gesetzes über den Vollzug der Zwangsmassnahmen im Ausländerrecht (SG 122.300) ein Einzelrichter am Appellationsgericht als Verwaltungsgericht zur in Art. 80 Abs. 2 des Bundesgesetzes über die Ausländerinnen und Ausländer (AuG, SR 142.20) vorgesehenen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und eine mündliche Verhandlung aufgrund der klaren Aktenlage auch entbehrlich erscheint,</w:t>
      </w:r>
    </w:p>
    <w:p>
      <w:r>
        <w:t>dass   mit der heutigen Überprüfung der Haft im schriftlichen Verfahren die Frist von 96 Stunden für die gerichtliche Haftüberprüfung eingehalten ist (Art. 80 Abs. 2 und 3 AuG)</w:t>
      </w:r>
    </w:p>
    <w:p>
      <w:r>
        <w:t>dass   nach den gesetzlichen Vorschriften ein Ausländer zur Sicherstellung des Vollzugs eines erstinstanzlichen Weg- oder Ausweisungsentscheids in Haft genommen werden kann, wenn konkrete Anzeichen befürchten lassen, dass er sich der Ausschaffung entziehen will oder sein bisheriges Verhalten darauf schliessen lässt, dass er sich behördlichen Anordnungen widersetzt (Art. 76 Abs. 1 lit. b Ziff. 3 und 4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das Migrationsamt den Haftgrund der Untertauchensgefahr gemäss Art. 76 Abs. 1 lit. b Ziff. 3 und 4 AuG als gegeben erachtet,</w:t>
      </w:r>
    </w:p>
    <w:p>
      <w:r>
        <w:t>dass   diese Beurteilung zutreffend ist, nachdem A____ seine wahre Identität gegenüber den kontrollierenden Polizeibeamten zu verschleiern suchte, indem er angab, er heisse [...] und sei am [...] geboren worden sowie anlässlich seiner Befragung durch das Migrationsamt ausführte, er sei im Wissen nicht über die notwendigen Reisedokumente zu verfügen in die Schweiz gekommen, um hier zu arbeiten, und habe die Schweiz Ende des laufenden Jahres wieder verlassen wollen,</w:t>
      </w:r>
    </w:p>
    <w:p>
      <w:r>
        <w:t>dass   dieses Verhalten deutlich macht, dass A____ in Freiheit untertauchen würde, um seinen weiteren Verbleib in der Schweiz zu ermöglichen,</w:t>
      </w:r>
    </w:p>
    <w:p>
      <w:r>
        <w:t>dass   keine mildere Massnahme als die angeordnete Haft zur Sicherstellung des Wegweisungsvollzugs zweckmässig erscheint und das Beschleunigungsgebot gewahrt ist, da die Migrationsbehörde plant, noch am heutigen Tag einen Rückflug in den Kosovo zu organisieren,</w:t>
      </w:r>
    </w:p>
    <w:p>
      <w:r>
        <w:t>dass   die Haft damit verhältnismässig und rechtmässig ist,</w:t>
      </w:r>
    </w:p>
    <w:p>
      <w:r>
        <w:t>dass   das Verfahren kostenlos ist (§ 4 Abs. 1 des Gesetzes über den Vollzug der Zwangsmassnahmen im Ausländerrecht),</w:t>
      </w:r>
    </w:p>
    <w:p>
      <w:r>
        <w:t>erkennt die Einzelrichterin:</w:t>
      </w:r>
    </w:p>
    <w:p>
      <w:r>
        <w:t>://:        Auf die Durchführung einer mündlichen Verhandlung wird verzichtet.</w:t>
      </w:r>
    </w:p>
    <w:p>
      <w:r>
        <w:t>Die über A____ angeordnete Ausschaffungshaft vom 16. August 2016, 18:10 Uhr, bis 28. August 2016, 18:10 Uhr, ist rechtmässig und angemessen.</w:t>
      </w:r>
    </w:p>
    <w:p>
      <w:r>
        <w:t>Es werden keine Kosten erhoben.</w:t>
      </w:r>
    </w:p>
    <w:p>
      <w:r>
        <w:t>Das Migrationsamt wird angewiesen, A____ das vorliegende Urteil in einer für ihn verständlichen Sprache zu eröffnen.</w:t>
      </w:r>
    </w:p>
    <w:p>
      <w:r>
        <w:t>VERWALTUNGSGERICHT BASEL-STADT</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