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AUS.2016.54 vom 1. Juli 2016</w:t>
      </w:r>
    </w:p>
    <w:p>
      <w:r>
        <w:t>BS Appellationsgericht, 2016-07-01, DE</w:t>
      </w:r>
    </w:p>
    <w:p>
      <w:r>
        <w:rPr>
          <w:b/>
        </w:rPr>
        <w:t xml:space="preserve">Quelle: </w:t>
      </w:r>
      <w:r>
        <w:t>https://mcp.opencaselaw.ch/entscheid/bs_appellationsgericht_AUS.2016.54</w:t>
      </w:r>
    </w:p>
    <w:p>
      <w:r>
        <w:t>FR: BS_APPELLATIONSGERICHT AUS.2016.54 du 1 juillet 2016</w:t>
      </w:r>
    </w:p>
    <w:p>
      <w:r>
        <w:t>IT: BS_APPELLATIONSGERICHT AUS.2016.54 del 1 luglio 2016</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a, b, c, f, g oder h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w:t>
      </w:r>
    </w:p>
    <w:p>
      <w:r>
        <w:t>Im vorliegenden Fall hat der Beurteilte gegen die ihm im März dieses Jahres auferlegte Einreisesperre für den Schengenraum verstossen. Er hält sich bereits seit mindestens rund fünf Jahren illegal in Europa auf, wobei er gemäss eigenen Angaben mehrfach zwischen Italien und Frankreich hin und hergereist sei. Er hat somit Mittel und Wege gefunden, wie er als illegal Anwesender ohne Aufenthaltsbewilligung überleben kann. Diese langjährige Erfahrung würde ihm auch in Zukunft helfen und eine freiwillige Reise in die Heimat nicht gerade fördern. Bei seiner Befragung durch das Migrationsamt vom 1. Juli 2016 hat er angegeben, er habe nicht die Absicht gehabt, in seine Heimat zurückzukehren. In Frankreich habe er in einem tunesischen Restaurant gearbeitet und damit seinen Lebensunterhalt bestritten. Im Falle einer Haftentlassung würde er zu seiner Schwester gehen, die in Frankreich wohnhaft sei. Auf die Frage, was er dazu sage, wenn er nach Tunis geschickt werde, meinte der Beurteilte, er wolle nicht nach Tunesien zurückkehren. In der heutigen Verhandlung hat er bestätigt, er könne nicht in seine Heimat zurückkehren. Seine Eltern seien alt und arm, er müsse arbeiten um sie zu unterstützen. Er habe in Frankreich eine Schwester, zu dieser wolle er gehen. All dies macht deutlich, dass A____, wäre er in Freiheit, für den Vollzug der Wegweisung nicht zur Verfügung stehen, sondern nach Frankreich zu seiner Schwester untertauchen würde.</w:t>
      </w:r>
    </w:p>
    <w:p>
      <w:r>
        <w:rPr>
          <w:b/>
        </w:rPr>
        <w:t>E. 3</w:t>
      </w:r>
    </w:p>
    <w:p>
      <w:r>
        <w:t>Der Vollzug der Weg- oder Ausweisung darf nicht aus rechtlichen oder tatsächlichen Gründen undurchführbar sein (vgl. Art. 80 Abs. 6 lit. a AuG). Auch muss der Vollzug der Wegweisung mit dem nötigen Nachdruck verfolgt werden (Art. 76 Abs. 4 AuG, Beschleunigungsgebot). Diesbezüglich legt das Migrationsamt dar, dass für die Ausstellung eines Reisedokuments für den Beurteilten ein internationaler Fingerabdruckvergleich ausreichen sollte. Im Fall einer positiven Identifizierung sei in der Regel mit zwei Wochen bis zum Erhalt eines Laissez-Passer zu rechnen. Das Migrationsamt hat bereits ein Gesuch um Vollzugsunterstützung beim Staatssekretariat für Migration (SEM) eingereicht. Unter diesen Umständen ist davon auszugehen, dass der Vollzug der Wegweisung möglich und innert nützlicher Frist durchführbar erscheint. Die Haft erweist sich nach dem Gesagten als zulässig und ist zu bestätigen. Das vorliegende Verfahren ist kostenlos (§ 4 Abs. 1 des Gesetzes über den Vollzug der Zwangsmassnahmen im Ausländerrecht).</w:t>
      </w:r>
    </w:p>
    <w:p>
      <w:r>
        <w:t>Demgemäss erkenntdie Einzelrichterin:</w:t>
      </w:r>
    </w:p>
    <w:p>
      <w:r>
        <w:t>://:        Die über A____ angeordnete Ausschaffungshaft ist für drei Monate, das heisst bis zum 30. September 2016, rechtmässig und angemessen.</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