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AUS.2016.33 vom 18. März 2016</w:t>
      </w:r>
    </w:p>
    <w:p>
      <w:r>
        <w:t>BS Appellationsgericht, 2016-03-18, DE</w:t>
      </w:r>
    </w:p>
    <w:p>
      <w:r>
        <w:rPr>
          <w:b/>
        </w:rPr>
        <w:t xml:space="preserve">Quelle: </w:t>
      </w:r>
      <w:r>
        <w:t>https://mcp.opencaselaw.ch/entscheid/bs_appellationsgericht_AUS.2016.33</w:t>
      </w:r>
    </w:p>
    <w:p>
      <w:r>
        <w:t>FR: BS_APPELLATIONSGERICHT AUS.2016.33 du 18 mars 2016</w:t>
      </w:r>
    </w:p>
    <w:p>
      <w:r>
        <w:t>IT: BS_APPELLATIONSGERICHT AUS.2016.33 del 18 marzo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gilt auch, wenn auf eine bereits erfolgte Vorbereitungshaft die Ausschaffungshaft angeordnet wird (Zünd, in: Kommentar Migrationsrecht, Spescha et al [Hrsg.], 4. Auflage 2015, Art. 76 AuG N 3). Diese Frist konnte vorliegend nicht eingehalten werden, da die Rechtsvertretung des A____ den vorgesehenen Verhandlungstermin am Nachmittag des 9. Mai 2016 nicht wahrnehmen konnte und ausserdem bis Dienstag, 10. Mai 2016, nicht feststand, ob A____ einen Wechsel seiner Rechtsvertretung vornehmen wird. Die Verhandlung findet deshalb auf ausdrücklichen Wunsch des A____ am heutigen Mittwochmorgen, 11. Mai 2016, statt. Ein Wechsel der Verteidigung ist erfolgt. Aus der zu Gunsten des A____ verschobenen Verhandlung kann dieser keine Fristversäumnis ableiten.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Das SEM hat das Asylgesuch des A____ mit Entscheid vom 3. Mai 2016 abgelehnt und ihn aus der Schweiz weggewiesen sowie angeordnet, dass er die Schweiz spätestens per 28. Juni 2016 zu verlassen habe. Dieses Ausreisedatum steht der Anordnung der Ausschaffungshaft nicht entgegen, umso mehr als A____ sich mit seinem beinahe durchgehenden Aufenthalt in den letzten rund vier Jahren schon lange rechtswidrig in der Schweiz aufhält und mit seinen wiederholten Rückkehrten in die Schweiz gegen ein bestehendes Einreiseverbot verstösst (vgl.Zünd, a.a.O., Art. 76 AuG N 2, wonach auch ein bestehender Aufenthaltstitel einer Inhaftnahme nicht zwingend entgegensteht).</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vom 17. März 2014 E. 4.3).</w:t>
      </w:r>
    </w:p>
    <w:p>
      <w:r>
        <w:t>3.2Das Migrationsamt begründet die Anordnung der Ausschaffungshaft mit dem Verstoss des A____ gegen ein bestehendes Einreiseverbot, mit dem missbräuchlichen Stellen eines Asylgesuchs, der Tatsache, dass A____ vorbestraft ist und führt aus, dass A____ offensichtlich nicht gewillt sei, sich an die hiesige Rechtsordnung zu halten und im Falle seiner Freilassung mit seinem Untertauchen zu rechnen sei.</w:t>
      </w:r>
    </w:p>
    <w:p>
      <w:r>
        <w:t>3.3Dieser Einschätzung der Situation durch das Migrationsamt ist beizupflichten. Bei den genannten Haftgründen handelt es sich um dieselben, die bereits zur Anordnung der Vorbereitungshaft geführt haben. Damit ist der Haftgrund von Art. 76 Abs. 1 lit. a AuG erfüllt, namentlich die Belassung in der Haft, sofern sich der Betroffene bereits gestützt auf die Bestimmungen über die Vorbereitungshaft in Haft befindet. Es kann auf die zutreffenden Erwägungen im Urteil betreffend die Vorbereitungshaft verwiesen werden (AGE AUS.2016.26 vom 18. März 2016), zumal sämtliche dort aufgeführten und begründeten Haftgründe nach wie vor bestehen (Verstoss gegen ein bestehendes Einreiseverbot Art. 76 Abs. 1 lit. b Ziff. 1 i.V.m. Art. 75 Abs. 1 lit. c AuG, missbräuchliches Stellen eines Asylgesuchs Art. 76 Abs. 1 lit. b Ziff. 1 i.V.m. Art. 75 Abs. 1 lit. f AuG, Verurteilung wegen eines Verbrechens Art. 76 Abs. 1 lit. b Ziff. 1 i.V.m. Art. 75 Abs. 1 lit. h AuG). Insgesamt ist aufgrund des früheren und des aktuellen Verhalten des A____ offensichtlich, dass er nicht akzeptiert, nicht mehr in der Schweiz leben zu dürfen und gewillt ist, seinen Aufenthalt hier illegal fortzuführen. Im Falle seiner Freilassung ist davon auszugehen, dass A____ in der Schweiz oder im Schengenraum untertauchen wird, um sich der drohenden Wegweisung in seine Heimat Türkei zu entziehen. Die Untertauchensgefahr ist gegeben und die Haft kann sich zusätzlich zu den bereits genannten Haftgründen auf Art. 76 Abs. 1 lit. b Ziff. 3 und 4 AuG abstützen.</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die Haft als Ganzes verhältnismässig sein (vgl. BGE 130 II 56 E. 1S. 58 und BGE 125 II 369 E. 3a S. 374 f.) und kein milderes Mittel ersichtlich sein.</w:t>
      </w:r>
    </w:p>
    <w:p>
      <w:r>
        <w:t>4.2Eine Ausschaffung in die Türkei ist zumutbar und rechtlich sowie tatsächlich möglich. Die diesbezüglichen Einwände des A____ werden im Asylentscheid vom 3. Mai 2016 behandelt. A____ steht es frei, gegen diesen Entscheid Beschwerde beim Bundeverwaltungsgericht einzulegen. Die mögliche und angekündigte Einlegung eines Rechtsmittels verzögert voraussichtlich den Zeitpunkt der Durchführbarkeit einer Ausschaffung, zumal im negativen Asylentscheid einer Beschwerde die aufschiebende Wirkung nicht entzogen wurde und auch wenn Haftfälle in aller Regel beschleunigt behandelt werden. Vorliegend kommt erschwerend hinzu, dass A____ in aller Deutlichkeit zum Ausdruck bringt, dass er die Schweiz nicht freiwillig verlassen wird, weshalb voraussichtlich der zwangsweise Vollzug wird angeordnet und organisiert werden müssen. Das Migrationsamt bringt zum Ausdruck, dass es deswegen zu grösseren zeitlichen Verzögerungen kommen könnte. Insgesamt erweist es sich damit zumindest als fraglich, ob von einer Absehbarkeit des Vollzugs der Ausweisung zum aktuellen Zeitpunkt ausgegangen werden kann. Hinzu kommt, dass A____ anbietet, eine Kaution zur Sicherstellung des Vollzugs seiner Ausweisung zu leisten, welche von seinem Bruder bezahlt würde. Die Beziehung des A____ zu seinem Bruder ist offenbar sehr eng; gemäss eigenen Angaben wohnt er bei diesem ([...]). Es darf davon ausgegangen werden, dass A____ seinem Bruder den Verlust der Kaution  indem er untertauchen und damit den vorgesehenen Vollzug der Wegweisung verunmöglichen würde  nicht zumuten wird (vgl.Härri, in: Basler Kommentar StPO II, Niggli/Heer/Wiprächtiger, 2. Auflage 2014, Art. 238 StPO N 12). Damit erweist sich die Leistung einer Kaution von CHF 10000. vor dem Hintergrund der aktuellen Ungewissheit, ob der Vollzug der Ausweisung in absehbarer Zeit stattfinden kann, als genügend, um die Sicherstellung der Wegweisung vorläufig zu gewähren. A____ wurde an der Verhandlung ausdrücklich darauf hingewiesen, dass er sich nach seiner Freilassung an der von ihm angegebenen Wohnadresse ([...]) aufzuhalten und sämtlichen Anordnungen der Migrationsbehörden Folge zu leisten hat, andernfalls eine Haft wieder angeordnet werden könnte. Insgesamt handelt es sich ohnehin um eine Freilassung aufgrund der aktuellen Umstände und könnte sich die Sachlage zu einem späteren Zeitpunkt anders präsentieren.</w:t>
      </w:r>
    </w:p>
    <w:p>
      <w:r>
        <w:t>4.3Den Erwägungen folgend ist A____ nach Eingang der Kautionszahlung von CHF 10000. umgehend aus der Haft zu entlassen. Sofern keine Kautionszahlung eingeht, wird die Haft bestätigt, da die rechtlichen Voraussetzungen dazu gegeben sind und ohne den Druck eines Kautionsverlusts eine mildere Massnahme als die Haft zur Sicherstellung der Wegweisung nicht ersichtlich ist.</w:t>
      </w:r>
    </w:p>
    <w:p>
      <w:r>
        <w:rPr>
          <w:b/>
        </w:rPr>
        <w:t>E. 5</w:t>
      </w:r>
    </w:p>
    <w:p>
      <w:r>
        <w:t>Das vorliegende Verfahren ist gemäss § 4 Gesetz über den Vollzug der Zwangs-massnahmen im Ausländerrecht (SG, 122.300) kostenlos, weshalb keine Gerichtsgebühr zu erheben ist. A____ ersucht um Gewährung der unentgeltlichen Verbeiständung. Da die vorliegend zu beurteilende Haft unter Anrechnung der Vorbereitungshaft die Dauer einer Inhaftierung von drei Monaten übersteigt, sind die Kosten der Verbeiständung grundsätzlich aus der Staatskasse zu bezahlen. Der Aufwand, den A____ mit dem Wechsel seiner Rechtsvertretung verursacht hat, wird allerdings nicht übernommen. Die Rechtsvertreterin hat keine Honorarnote eingereicht, weshalb ihr angemessener Aufwand zu schätzen ist. Für die Vorbereitung der Verhandlung und Vertretung an der Verhandlung erscheint die Abgeltung eines Aufwandes von insgesamt 3 Stunden angemessen.</w:t>
      </w:r>
    </w:p>
    <w:p>
      <w:r>
        <w:t>Demgemäss erkenntdie Einzelrichterin:</w:t>
      </w:r>
    </w:p>
    <w:p>
      <w:r>
        <w:t>://:        A____ ist nach Hinterlegung bzw. Eingang einer Kautionszahlung von CHF 10000. auf das Konto des Justiz- und Sicherheitsdepartement Basel-Stadt (5100), Bevölkerungsdienste und Migration, 4001 Basel, IBAN:CH30 0900 0000 4500 9900 6, BIC: POFICHBEXXX, unverzüglich aus der Haft zu entlassen. Erfolgt keine Kautionszahlung, wird die angeordnete Haft bis zum 6. August 2016 bestätigt.</w:t>
      </w:r>
    </w:p>
    <w:p>
      <w:r>
        <w:t>Es werden keine Kosten erhoben.</w:t>
      </w:r>
    </w:p>
    <w:p>
      <w:r>
        <w:t>Der Rechtvertretung A____, lic. iur. [...], werden ein Honorar von CHF 600., inkl. Auslagen und zzgl. 8% MWST von CHF 48., aus der Gerichtskasse bezahlt.</w:t>
      </w:r>
    </w:p>
    <w:p>
      <w:r>
        <w:t>Mitteilung an:</w:t>
      </w:r>
    </w:p>
    <w:p>
      <w:r>
        <w:t>- A____</w:t>
      </w:r>
    </w:p>
    <w:p>
      <w:r>
        <w:t>- Migrationsamt</w:t>
      </w:r>
    </w:p>
    <w:p>
      <w:r>
        <w:t>- SEM</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