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AUS.2016.23 vom 29. Juli 2015</w:t>
      </w:r>
    </w:p>
    <w:p>
      <w:r>
        <w:t>BS Appellationsgericht, 2015-07-29, DE</w:t>
      </w:r>
    </w:p>
    <w:p>
      <w:r>
        <w:rPr>
          <w:b/>
        </w:rPr>
        <w:t xml:space="preserve">Quelle: </w:t>
      </w:r>
      <w:r>
        <w:t>https://mcp.opencaselaw.ch/entscheid/bs_appellationsgericht_AUS.2016.23</w:t>
      </w:r>
    </w:p>
    <w:p>
      <w:r>
        <w:t>FR: BS_APPELLATIONSGERICHT AUS.2016.23 du 29 juillet 2015</w:t>
      </w:r>
    </w:p>
    <w:p>
      <w:r>
        <w:t>IT: BS_APPELLATIONSGERICHT AUS.2016.23 del 29 luglio 2015</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2.1Hinsichtlich der Wegweisung und des Haftgrundes ist auf das Urteil AGE AUS.2016.13 vom 12. Februar 2016 E. 1 - 3 zu verweisen. Dem ist beizufügen, dass das Urteil des Strafgerichts vom 10. Februar 2016 wegen versuchter schwerer Körperverletzung, einfacher Körperverletzung (Ehegatte während der Ehe oder bis zu einem Jahr nach der Scheidung) sowie versuchter Nötigung mittlerweile in Rechtskraft erwachsen ist. Auch die Untertauchensgefahr ist nach wie vor gegeben, da der Beurteilte nach wie vor nicht bereit ist, nach Marokko zurückzukehren.</w:t>
      </w:r>
    </w:p>
    <w:p>
      <w:r>
        <w:t>2.2Die maximale Haftdauer von sechs Monaten wird mit der vorliegend zu beurteilenden Haftverlängerung nicht erreicht, weshalb die Voraussetzungen von Art. 79 Abs. 2 AuG nicht zu prüfen sind.</w:t>
      </w:r>
    </w:p>
    <w:p>
      <w:r>
        <w:t>2.3Der Beurteilte hat anlässlich der Befragungen durch das Migrationsamt vom 19. Februar 2016 und 8. März 2016, wie schon zuvor auch gegenüber dem Einzelrichter anlässlich der Verhandlung vom 12. Februar 2016 angegeben, er sei nicht bereit, freiwillig nach Marokko zu gehen. Wäre er in Freiheit, so würde er die Schweiz allerdings verlassen  wohin, sagt er nicht. Da derzeit sein marokkanischer Reisepass nicht auffindbar ist, ist er jedoch nicht berechtigt, in einen anderen Staat als Marokko zu reisen. Weiter ist der Beurteilte inzwischen seinen Angaben zufolge bereit, seinen Reisepass zu organisieren, welcher sich bei einem seiner Freunde befinden soll. Deren Personalien gibt er nicht preis, indessen habe er deren Telefonnummern auf seinem Mobiltelefon gespeichert. Dieses allerdings wurde von der Staatsanwaltschaft im genannten Strafverfahren beschlagnahmt. Das Strafgericht wiederum hat die Beschlagnahme mit dem genannten Urteil vom 10. Februar 2016 aufgehoben und die Rückgabe des Mobiltelefons an den Beurteilten angeordnet. Das Migrationsamt hat sich bei der Staatsanwaltschaft um die Herausgabe des Geräts bemüht, allerdings ist es nach den Angaben des Beurteilten immer noch nicht eingetroffen. Das Migrationsamt ist gehalten, die Sache zu beschleunigen, zumal der Beurteilte sich anlässlich der heutigen Verhandlung kooperativ zeigt, seine Freunde anzurufen und den Pass zu organisieren. Zudem hat das Migrationsamt beim Staatssekretariat für Migration (SEM) um Vollzugsunterstützung nachgesucht. Gemäss Informationen des SEM könnte sich die Ausstellung eines Laissez-Passer durch die Marokkanischen Behörden jedoch verzögern. Aus dieser Sachlage ergibt sich, dass der Wegweisungsvollzug nach Marokko rechtlich und tatsächlich möglich, und dass das Beschleunigungsgebot gewahrt ist. Zu erinnern ist in diesem Zusammenhang an die Ausführungen im Urteil AGE AUS.2016.13 vom 12. Februar, wonach die Eltern des Beurteilten zwar verstorben sind, was dem Wegeweisungsvollzug indessen nicht entgegensteht, zumal der Beurteilte erst vor vier Jahren als 26-jähriger in die Schweiz gekommen ist und zuvor sein ganzes Leben in Marokko verbracht hat. Ebensowenig berücksichtigt werden kann der gegenüber dem Migrationsamt und auch anlässlich der letzten und auch heutigen Verhandlung geäusserte Wunsch des Beurteilten, noch eine Chance zu erhalten und in der Schweiz bleiben zu können, zumal dies, wie vorstehend ausgeführt, Gegenstand des materiellen Verfahrens betreffend Entzug der Aufenthaltsbewilligung und Wegweisung war und der Haftrichter diesbezüglich keine Überprüfungsbefugnis hat. Der Beurteilte ist ferner an seine Mitwirkungspflicht bezüglich der Beschaffung von Reisepapieren zu erinnern, was in seinem eigenen Interesse liegt, um die Haftdauer zu verkürzen, dauert die Beschaffung eines Laissez-Passer erfahrungsgemäss doch einige Zeit.</w:t>
      </w:r>
    </w:p>
    <w:p>
      <w:r>
        <w:t>Der Beurteilte beantragt heute, für eine Woche aus der Haft entlassen zu werden, um seine Sachen sowie sein Geld zu holen, die sich bei verschiedenen Freunden befänden. Allerdings ist nicht ersichtlich, wieso er sich dies alles nicht ins Gefängnis Bässlergut bringen lassen könnte. Auch aus dieser Perspektive ist das Migrationsamt gehalten, die Beschaffung des Mobiltelefons zu beschleunigen. Einem Hafturlaub steht jedoch das nach wie vor grosse Interesse des Beurteilten entgegen, nicht nach Marokko, sondern in ein anderes Land zu gehen und somit unterzutauchen. Ein milderes Mittel als die Haft zur Sicherstellung des Wegweisungsvollzugs ist daher nicht ersichtlich und zielführend. Insoweit ist die Haft recht- und verhältnismässig.</w:t>
      </w:r>
    </w:p>
    <w:p>
      <w:r>
        <w:t>2.4Anlässlich der Haftanordnung standen Suizidgedanken des Beurteilten zur Diskussion. Für eine krankheitsbedingte Suizidgefahr ergeben sich aus den Akten keine Anhaltspunkte. Insoweit erscheinen die Suizidabsichten des Beurteilten als rein reaktiver Natur im Hinblick auf den Wegweisungsvollzug, und stehen sie dem Wegweisungsvollzug nicht entgegen, ihnen wäre allenfalls kurzfristig krisenbedingt zu begegnen.</w:t>
      </w:r>
    </w:p>
    <w:p>
      <w:r>
        <w:t>Die Vertreterin des Beurteilten hat anlässlich der Verhandlung vom 12. Februar 2016 allerdings geltend gemacht, ihr Mandant sei aufgrund des Todes seiner Mutter psychisch krank, depressiv und er ritze sich. Am 19. Februar 2016 äusserte er Suizidabsichten, worauf er gemäss Eskalationsdispositiv und auf Empfehlung des Medizinischen Dienstes in die Sicherheitszelle mit Videoüberwachung gesetzt wurde. Anlässlich der Visite bei der UPK hat sich der Beurteilte dann klar von Suizid und Selbstverletzung distanziert. Gegenüber dem Migrationsamt gab er am 8. März 2016 auf Frage nach der Distanzierung von Suizid und Selbstverletzung zu Protokoll, von der Gesundheit her sei er flugtauglich, aber er wolle auf keinen Fall zurück nach Marokko. Anlässlich der heutigen Verhandlung hat sich der Beurteilte ebenfalls klar von Suizidgedanken distanziert. Der Gesundheitszustand des Beurteilten steht somit weder der Haft noch dem Wegweisungsvollzug entgegen. Die Verlängerung der Haft um drei Monate ist nach dem Gesagten zu bestätigen.</w:t>
      </w:r>
    </w:p>
    <w:p>
      <w:r>
        <w:t>Demgemäss erkenntder Einzelrichter:</w:t>
      </w:r>
    </w:p>
    <w:p>
      <w:r>
        <w:t>://:        Die über A____ angeordnete Verlängerung der Ausschaffungshaft ist bis 18. Juni 2016 rechtmässig.</w:t>
      </w:r>
    </w:p>
    <w:p>
      <w:r>
        <w:t>Mitteilung an</w:t>
      </w:r>
    </w:p>
    <w:p>
      <w:r>
        <w:t>-Beurteilter</w:t>
      </w:r>
    </w:p>
    <w:p>
      <w:r>
        <w:t>-Migrationsamt Basel-Stadt</w:t>
      </w:r>
    </w:p>
    <w:p>
      <w:r>
        <w:t>-Staatssekretariat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