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AUS.2015.2 vom 25. Januar 2012</w:t>
      </w:r>
    </w:p>
    <w:p>
      <w:r>
        <w:t>BS Appellationsgericht, 2012-01-25, DE</w:t>
      </w:r>
    </w:p>
    <w:p>
      <w:r>
        <w:rPr>
          <w:b/>
        </w:rPr>
        <w:t xml:space="preserve">Quelle: </w:t>
      </w:r>
      <w:r>
        <w:t>https://mcp.opencaselaw.ch/entscheid/bs_appellationsgericht_AUS.2015.2</w:t>
      </w:r>
    </w:p>
    <w:p>
      <w:r>
        <w:t>FR: BS_APPELLATIONSGERICHT AUS.2015.2 du 25 janvier 2012</w:t>
      </w:r>
    </w:p>
    <w:p>
      <w:r>
        <w:t>IT: BS_APPELLATIONSGERICHT AUS.2015.2 del 25 gennaio 2012</w:t>
      </w:r>
    </w:p>
    <w:p>
      <w:pPr>
        <w:pStyle w:val="Heading2"/>
      </w:pPr>
      <w:r>
        <w:t>Erwägungen</w:t>
      </w:r>
    </w:p>
    <w:p>
      <w:r>
        <w:rPr>
          <w:b/>
        </w:rPr>
        <w:t>E. 1</w:t>
      </w:r>
    </w:p>
    <w:p>
      <w:r>
        <w:t>Gemäss Art. 80 Abs. 2 AuG sind die Rechtmässigkeit und Angemessenheit der Haft</w:t>
      </w:r>
    </w:p>
    <w:p>
      <w:r>
        <w:t>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Migrationsamts vom 29. Januar 2015 aus der Schweiz weggewiesen, womit ein entsprechender Entscheid vorliegt.</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(statt vieler: unveröffentlichtes Urteil vom 25. März 1996 i.S. M.M., E. 2a). Die Passivität des Ausländers kann jedoch, gleich wie das Fehlen eines festen Aufenthaltsorts oder die Mittellosigkeit, ein weiterer Hinweis dafür sein, dass er sich der Ausschaffung entziehen will (BGE 122 II 49 E 2 S. 50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Inhaftnahme mit dem Vorliegen einer Untertauchensgefahr sowie mit dem Umstand, dass A____ gegen das von Italien verhängte Einreiseverbot für den gesamten Schengenraum verstossen habe. Dem ist beizupflichten. A____ ist im Jahr 2012 bereits untergetaucht, nachdem auf sein zweites in der Schweiz gestelltes Asylgesuch nicht eingetreten wurde und er nach Italien hätte rücküberstellt werden müssen. Wo er sich seither aufgehalten hat, ist letztlich nicht bekannt. Gemäss seinen eigenen Angaben lebte er in Deutschland und reiste erst vor drei Tagen wieder in die Schweiz ein. Da sich A____ folglich im Jahr 2012 der Rückschaffung entzogen hat, kann nicht davon ausgegangen werden, dass er sich kooperativ verhält, sondern ist mit einem erneuten Untertauchen zu rechnen. Hinzu kommt, dass A____ in der Schweiz straffällig wurde (Strafbefehl vom 29. Januar 2015, noch nicht rechtskräftig) was die Annahme, er kooperiere nicht mit den Behörden erhärtet. Der Annahme einer Untertauchensgefahr steht auch nicht entgegen, dass er gemäss seinen Angaben einen legalen Aufenthaltsstatus in Spanien hat und sich auf der Reise nach Spanien befinde. Ob dem tatsächlich so ist, ist bislang unbewiesen und abzuklären (s. unten Ziff. 4.2). Dass er möglicherweise bislang ein falsche Identität angeben hat, ist im Gegenteil nicht zu seinen Gunsten zu werten, sondern untermauert zusätzlich die Untertauchensgefahr, welche bei einer Verschleierung der Identität ebenfalls als gegeben zu erachten ist. Hinzu kommt, dass A____ mittellos ist und über keine feste Unterkunft in der Schweiz verfügt. Ebenfalls richtig ist, dass A____ mit seiner Einreise in die Schweiz gegen ein schengenweit bestehendes Einreiseverbot verstossen hat. Damit liegen Haftgründe gemäss Art. 76 Abs. 1 lit b Ziff. 1 i.V.m. Art. 75 Abs. 1 lit. c AuG und Art. 76 Abs. 1 lit. b Ziff. 3 und 4 AuG vor.</w:t>
      </w:r>
    </w:p>
    <w:p>
      <w:r>
        <w:t>3.3Ob das gemäss Strafbefehl vom 29. Januar 2015 begangene Delikt der Gewalt und Drohung gegen Beamte auszureichen vermag, um wie das Migrationsamt ausführt einen weiteren Haftgrund in Anwendung von Art. 76 Abs. 1 lit. b Ziff. 1 i.V.m. Art. 75 Abs. 1 lit. g AuG zu begründen, kann damit grundsätzlich unbeantwortet bleiben. Allerdings sei darauf hinzuweisen, dass dieser Haftgrund einer ernsthafte Bedrohung von Personen oder eine erhebliche Gefährdung von Leib und Leben voraussetzt (vgl.Zünd, in: Kommentar Migrationsrecht, Spescha/Thür/Zünd/Bolzli [Hrsg.], 3. Auflage 2012, Art. 75 AuG N 10).</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Haft als Ganzes verhältnismässig sein (vgl. BGE 130 II 56 E. 1S. 58 und BGE 125 II 369 E. 3a S. 374 f.).</w:t>
      </w:r>
    </w:p>
    <w:p>
      <w:r>
        <w:t>4.2Die möglicherweise noch zu vollziehende Strafhaft gemäss dem noch nicht in Rechtskraft erwachsenen Strafbefehl vom 29. Januar 2015 steht dem Vollzug der Wegweisung praxisgemäss nicht entgegen. Eine Rückweisung nach Italien oder eine Ausschaffung in die noch festzustellende Heimat (Mali, Gambia oder Spanien) des A____ sind zumutbar und rechtlich sowie tatsächlich möglich (zur Rückweisung nach Italien vgl. AUS.2014.70 vom 12. November 2014 E. 4.2). Es bestehen auch keine Anhaltspunkte dafür, dass sich die Behörden nicht mit dem nötigen Nachdruck um den Vollzug der Wegweisung bzw. die dazu notwendige Beschaffung der für die Reise notwendigen Dokumente bemühten; das Beschleunigungsgebot ist gewahrt. Ein milderes Mittel zur Sicherstellung des Wegweisungsvollzugs ist nicht ersichtlich und zielführend. Da aktuell noch unklar ist, ob A____ nach Italien rückgeführt werden kann oder aber eine Ausschaffung in seine Heimat bevorsteht, rechtfertigt sich auch die Dauer der angeordneten Haft von 3 Monaten. Die Ausschaffungshaft beginnt allerdings  anders als vom Migrationsamt angeordnet  erst am 30. Januar 2015, da gemäss Strafbefehl vom 29. Januar 2015 der ausgestandene Freiheitsentzug am 28. und 29. Januar 2015 (2 Tage) an die Freiheitsstrafe angerechnet werden.</w:t>
      </w:r>
    </w:p>
    <w:p>
      <w:r>
        <w:rPr>
          <w:b/>
        </w:rPr>
        <w:t>E. 5</w:t>
      </w:r>
    </w:p>
    <w:p>
      <w:r>
        <w:t>Das vorliegende Verfahren ist gemäss § 4 des Gesetzes über den Vollzug der Zwangsmassnahmen im Ausländerrecht kostenlos.</w:t>
      </w:r>
    </w:p>
    <w:p>
      <w:r>
        <w:t>Demgemäss erkenntdie Einzelrichterin:</w:t>
      </w:r>
    </w:p>
    <w:p>
      <w:r>
        <w:t>://:        Die über A____ angeordnete Ausschaffungshaft von drei Monaten ist rechtmässig und angemessen. Sie beginnt am 30. Januar 2015 und endet am 29. April 2015.</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