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AUS.2014.77 vom 5. Dezember 2014</w:t>
      </w:r>
    </w:p>
    <w:p>
      <w:r>
        <w:t>BS Appellationsgericht, 2014-12-05, DE</w:t>
      </w:r>
    </w:p>
    <w:p>
      <w:r>
        <w:rPr>
          <w:b/>
        </w:rPr>
        <w:t xml:space="preserve">Quelle: </w:t>
      </w:r>
      <w:r>
        <w:t>https://mcp.opencaselaw.ch/entscheid/bs_appellationsgericht_AUS.2014.77</w:t>
      </w:r>
    </w:p>
    <w:p>
      <w:r>
        <w:t>FR: BS_APPELLATIONSGERICHT AUS.2014.77 du 5 décembre 2014</w:t>
      </w:r>
    </w:p>
    <w:p>
      <w:r>
        <w:t>IT: BS_APPELLATIONSGERICHT AUS.2014.77 del 5 dicembre 2014</w:t>
      </w:r>
    </w:p>
    <w:p>
      <w:pPr>
        <w:pStyle w:val="Heading2"/>
      </w:pPr>
      <w:r>
        <w:t>Erwägungen</w:t>
      </w:r>
    </w:p>
    <w:p>
      <w:r>
        <w:rPr>
          <w:b/>
        </w:rPr>
        <w:t>E. 1</w:t>
      </w:r>
    </w:p>
    <w:p>
      <w:r>
        <w:t>Nach den gesetzlichen Vorschriften kann ein Ausländer zur Sicherstellung des Vollzugs eines eröffneten erstinstanzlichen Weg- oder Ausweisungsentscheids in Haft belassen werden, wenn er sich bereits in Vorbereitungshaft befindet (Art. 76 Abs. 1 lit. a). Ferner kann ein Ausländer in Haft genommen werden, wenn Gründe nach Art. 76 Abs. 1 lit. b Ziff. 1 i.V.m. Art. 75 Abs. 1 lit. a, b, c, f, g oder h oder Absatz 1bisAuG vorliegen, so etwa wenn gegen eine Einreisesperre für das Gebiet der Schweiz verstossen wird (Art. 76 Abs. 1 lit. b Ziff. 1 i.V.m. Art. 75 Abs. 1 lit. c AuG). Ausserdem kann er in Haft genommen werden, wenn konkrete Anzeichen befürchten lassen, dass er sich der Ausschaffung entziehen will, insbesondere weil er besonderen Mitwirkungspflichten nicht nachkommt (Art. 76 Abs. 1 lit. b Ziff. 3 AuG), oder wenn Untertauchensgefahr vorliegt.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AuG). Nach Art. 76 Abs. 1 lit. b Ziff. 4 AuG kann ein Ausländer auch in Haft genommen werden, wenn sein Verhalten darauf schliessen lässt, dass er sich behördlichen Anordnungen widersetzt.</w:t>
      </w:r>
    </w:p>
    <w:p>
      <w:r>
        <w:t>Die Vorbereitungs- und die Ausschaffungshaft nach Art. 75 bis 77 AuG sowie die Durchsetzungshaft nach Art. 78 AuG dürfen zusammen in der Regel die maximale Haftdauer von sechs Monaten nicht überschreiten (Art. 79 Abs. 1 AuG). Weiter darf der Vollzug einer allfälligen Weg- oder Ausweisung nicht aus rechtlichen oder tatsächlichen Gründen undurchführbar sein (Art. 80 Abs. 6 lit. a AuG; BGE 127 II 168 E. 2c S. 171 f.). Schliesslich hat die zuständige Behörde ohne Verzug über die Aufenthaltsberechtigung des Ausländers zu entscheiden (Art. 75 Abs. 2 AuG), und sind die für den Vollzug der Weg- oder Ausweisung notwendigen Vorkehren umgehend zu treffen (Art. 76 Abs. 4 AuG, Beschleunigungsgebot). Die Haft als Ganzes muss verhältnismässig sein (vgl. BGE 130 II 56 E. 1 S. 58 und BGE 125 II 369 E. 3a S. 374 f.).</w:t>
      </w:r>
    </w:p>
    <w:p>
      <w:r>
        <w:rPr>
          <w:b/>
        </w:rPr>
        <w:t>E. 2</w:t>
      </w:r>
    </w:p>
    <w:p>
      <w:r>
        <w:t>2.1Die Wegweisungsverfügung wurde dem Beurteilten eröffnet.</w:t>
      </w:r>
    </w:p>
    <w:p>
      <w:r>
        <w:t>2.2Der Beurteilte wurde im Jahr 2011 wegen rechtswidriger Einreise, rechtswidrigen Aufenthalts und Arbeitens ohne Bewilligung mit einer schengenweiten Einreisesperre bis 19. Januar 2013 belegt. Nachdem er im Jahr 2012 gegen diese Einreisesperre verstossen hatte, wurde dieselbe bis 19. Januar 2015 verlängert. Gemäss seinen Angaben gegenüber dem Migrationsamt und anlässlich der heutigen Verhandlung hatte er von der Einreisesperre Kenntnis, und er hat sie somit bewusst erneut missachtet. Damit ist der Haftgrund des Missachtens einer Einreisesperre gemäss Art. 76 Abs. 1 lit. b Ziff. 1 i.V.m. Art. 75 Abs. 1 lit. c AuG gegeben.</w:t>
      </w:r>
    </w:p>
    <w:p>
      <w:r>
        <w:t>2.3Der Beurteilte gibt an, ohne Reisepass, sondern nur mit der (abgelaufenen) ID gereist zu sein. Er sei über die grüne Grenze nach Ungarn in den Schengenraum eingereist. Er sei nicht gekommen, um Delikte zu begehen, sondern um Freunde zu besuchen, eventuell um Arbeit zu suchen. Er wisse, dass er nicht in Europa arbeiten dürfe. Bei diesem Verhalten  er hält sich wiederholt nicht an die geltenden ausländer- und arbeitsmarktrechtlichen Regeln  und der entsprechenden Interessenlage des Beurteilten ist nicht davon auszugehen, dass er sich in Freiheit dem Wegweisungsvollzug zur Verfügung halten würde, und Untertauchensgefahr ist ebenfalls gegeben.</w:t>
      </w:r>
    </w:p>
    <w:p>
      <w:r>
        <w:t>2.4Die Ausschaffung nach Kosovo ist rechtlich und tatsächlich möglich und zumutbar. Der Beurteilte führt eine abgelaufene kosovarische ID mit sich. Nach seinen Angaben verfügt er jedoch auch über einen gültigen kosovarischen Reisepass, der ihm nun aus dem Kosovo zugestellt wird; er wird wohl bald eintreffen  oder ist bereits eingetroffen, gemäss den Angaben des Beurteilten anlässlich der heutigen Verhandlung , ansonsten ein Ersatzreisepapier wird erhältlich gemacht werden können. Ein milderes Mittel zur Sicherstellung des Wegweisungsvollzugs ist nicht ersichtlich und zielführend. Der Beurteilte ist (nach dem Autounfall) bei guter Gesundheit. Die vorliegende Anordnung der Ausschaffungshaft bis 31. Januar 2015 ist somit recht- und verhältnismässig und zu bestätigen.</w:t>
      </w:r>
    </w:p>
    <w:p>
      <w:r>
        <w:t>Demgemäss erkenntder Einzelrichter:</w:t>
      </w:r>
    </w:p>
    <w:p>
      <w:r>
        <w:t>://:        Die über A____ angeordnete Ausschaffungshaft ist bis 31. Januar 2015 recht- und verhältnismässig.</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