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AUS.2014.56 vom 20. Oktober 2008</w:t>
      </w:r>
    </w:p>
    <w:p>
      <w:r>
        <w:t>BS Appellationsgericht, 2008-10-20, DE</w:t>
      </w:r>
    </w:p>
    <w:p>
      <w:r>
        <w:rPr>
          <w:b/>
        </w:rPr>
        <w:t xml:space="preserve">Quelle: </w:t>
      </w:r>
      <w:r>
        <w:t>https://mcp.opencaselaw.ch/entscheid/bs_appellationsgericht_AUS.2014.56</w:t>
      </w:r>
    </w:p>
    <w:p>
      <w:r>
        <w:t>FR: BS_APPELLATIONSGERICHT AUS.2014.56 du 20 octobre 2008</w:t>
      </w:r>
    </w:p>
    <w:p>
      <w:r>
        <w:t>IT: BS_APPELLATIONSGERICHT AUS.2014.56 del 20 ottobre 2008</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Migrationsamts vom 4. Februar 2014 per 5. Mai 2014 aus der Schweiz weggewiesen. Nachdem seine Beschwerde gegen diese Verfügung mit Entscheid des Regierungsrats vom 30. Mai 2014 abgewiesen wurde, wurde ihm erneut Frist für die Ausreise bis zum 7. August 2014 gesetzt. Es liegt folglich ein rechtskräftiger Wegweisungsentscheid vor.</w:t>
      </w:r>
    </w:p>
    <w:p>
      <w:r>
        <w:rPr>
          <w:b/>
        </w:rPr>
        <w:t>E. 3</w:t>
      </w:r>
    </w:p>
    <w:p>
      <w:r>
        <w:t>3.1Nach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3.2Das Migrationsamt begründet die verfügte Ausschaffungshaft mit bestehender Untertauchensgefahr. A____ sei seiner Verpflichtung die Schweiz bis zum 7. August 2014 zu verlassen, nicht nachgekommen. Auch zeigten die laufenden Verfahren, dass er nicht gewillt sei, sich an behördliche Anordnungen zu halten. Im Fall einer Haftentlassung würde A____ sich wohl weiterhin rechtswidrig in der Schweiz aufhalten und behördliche Anordnungen missachten.</w:t>
      </w:r>
    </w:p>
    <w:p>
      <w:r>
        <w:t>3.2Fest steht, dass A____ der behördlichen Anweisung, die Schweiz Anfangs August des laufenden Jahres zu verlassen, nicht gefolgt ist. Vielmehr ist er gemäss eigenen Angaben ohne die erforderliche Bewilligung einer Erwerbstätigkeit nachgegangen. Damit hat er sich einer behördlichen Anordnung klar widersetzt. Dass er vom Ausreisedatum nichts gewusst haben will, da er gemäss eigenen Angaben den Rekursentscheid nicht erhalten habe, ist unerheblich, nachdem er den ursprünglichen Entscheid des Migrationsamt vom 4. Februar 2014 offensichtlich erhalten hat, da er dagegen ja Beschwerde erhob. Somit oblag es ihm, den Behörden eine allfällige Adressänderung mitzuteilen. Unmissverständlich gibt er auch zum Ausdruck, dass er nicht gewillt sei, die Schweiz zu verlassen, da er seine Ehefrau noch liebe. Dies obwohl B____ zum Ausdruck gebracht hat, dass sie keinen Kontakt mehr mit ihm wünsche und in diesem Zusammenhang gar ein zivilrechtliches Annäherungsverbot ausgesprochen wurde. B____ hat gemäss eigenen Angaben aufgrund des Verhaltens von A____ bereits mit der Opferhilfe Kontakt aufgenommen, welche ihr ein Alarmgerät gegeben habe (Protokoll der Anhörung von B____ durch das Migrationsamt vom 4. November 2013). Es erscheint vor diesem Hintergrund offensichtlich, dass A____ allein aus ausländerrechtlichen Gründen an dieser Ehe festhalten will und zur Erreichung seiner Ziele auch nicht gewillt ist, die Rechtssphäre seiner Ehefrau zu respektieren. Sein Widerhandeln gegen das vom Zivilgericht angeordnete Annäherungsverbot dürfte wohl gar strafrechtliche Konsequenzen zeitigen. Insgesamt zeigt sich in der Biographie des A____, dass er sich seit seiner Einreise in die Schweiz widerholt renitent gegen Behörden verhalten hat und in diesen Zusammenhang auch vor strafrechtlich relevantem Verhalten nicht zurück schreckt. Ebenso wenig respektiert er die Integrität von Privatpersonen, was ebenfalls bereits polizeiliche Weiterungen nach sich gezogen hat. Hinzu kommt, dass A____ gemäss eigenen Angaben über keinen festen Wohnsitz mehr verfügt. Im Übrigen verhielt sich A____ auch während seiner Asylverfahren im Jahr 2007 und 2010 immer wieder renitent und hielt sich nicht an behördliche Anweisungen (s. Strafregisterauszug). Die Gesamtheit dieser Vorfälle und Umstände lässt ohne Weiteres auf eine vorhandene Untertauchensgefahr schliessen, weshalb A____ zu Recht in Ausschaffungshaft genommen wurde.</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Die Haft als Ganzes hat in jedem Fall verhältnismässig zu sein (vgl. BGE 130 II 56 E. 1S. 58 und BGE 125 II 369 E. 3a S. 374 f.).</w:t>
      </w:r>
    </w:p>
    <w:p>
      <w:r>
        <w:t>4.2Eine Ausschaffung nach Algerien ist zumutbar und rechtlich sowie tatsächlich möglich. Es bestehen auch keine Anhaltspunkte dafür, dass sich die Behörden nicht mit dem nötigen Nachdruck um den Vollzug der Wegweisung bemühten; das Beschleunigungsgebot ist gewahrt. Gemäss den Angaben des A____ befindet sich sein Reisepass bei B____. Damit dürfte dessen Beschaffung keine weiteren Probleme bieten. Da die Identität des A____ und seine Staatsbürgerschaft indessen ohnehin mit Sicherheit feststehen, ist davon auszugehen, dass eine Ausreise in absehbarer Frist möglich sein wird. Um das Notwendige in die Wege zu leiten, erweist sich die beantragte Haftdauer von drei Monaten als gerechtfertigt. Ein milderes Mittel zur Sicherstellung des Wegweisungsvollzugs ist nicht ersichtlich und zielführend.</w:t>
      </w:r>
    </w:p>
    <w:p>
      <w:r>
        <w:t>Demgemäss erkenntdie Einzelrichterin:</w:t>
      </w:r>
    </w:p>
    <w:p>
      <w:r>
        <w:t>://:        Die über A____ angeordnete Ausschaffungshaft von drei Monaten vom 23. September 2014 bis zum 22. Dezember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