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AUS.2014.5 vom 29. Januar 2014</w:t>
      </w:r>
    </w:p>
    <w:p>
      <w:r>
        <w:t>BS Appellationsgericht, 2014-01-29, DE</w:t>
      </w:r>
    </w:p>
    <w:p>
      <w:r>
        <w:rPr>
          <w:b/>
        </w:rPr>
        <w:t xml:space="preserve">Quelle: </w:t>
      </w:r>
      <w:r>
        <w:t>https://mcp.opencaselaw.ch/entscheid/bs_appellationsgericht_AUS.2014.5</w:t>
      </w:r>
    </w:p>
    <w:p>
      <w:r>
        <w:t>FR: BS_APPELLATIONSGERICHT AUS.2014.5 du 29 janvier 2014</w:t>
      </w:r>
    </w:p>
    <w:p>
      <w:r>
        <w:t>IT: BS_APPELLATIONSGERICHT AUS.2014.5 del 29 gennaio 2014</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 worden.</w:t>
      </w:r>
    </w:p>
    <w:p>
      <w:r>
        <w:rPr>
          <w:b/>
        </w:rPr>
        <w:t>E. 2</w:t>
      </w:r>
    </w:p>
    <w:p>
      <w:r>
        <w:t>Wurde ein erstinstanzlicher Wegweisungsentscheid eröffnet, so kann die zuständige Behörde des Kantons, der für den Vollzug der Wegweisung zuständig ist (Art. 80 Abs. 1 AuG), den Ausländer zur Sicherstellung des Vollzugs insbesondere in Ausschaffungshaft nehmen, wenn Gründe nach Art. 76 Abs. 1 lit. b Ziff. 1 i.V.m. Art. 75 Abs. 1 lit. b, c, g oder h oder Abs. 1bisAuG vorliegen, so wenn eine Person ohne Aufenthaltstitel trotz Einreiseverbot das Gebiet der Schweiz betritt (lit. c), oder wenn konkrete Anzeichen befürchten lassen, dass er sich der Ausschaffung entziehen will, insbesondere weil er der Mitwirkungspflicht nach Art. 90 AuG sowie Art. 8 Abs. 1 lit. a oder Abs. 4 Asylgesetz (AsylG) nicht nachkommt (Art. 76 Abs. 1 lit. b Ziff. 3 AuG), oder wenn sein bisheriges Verhalten darauf schliessen lässt, dass er sich behördlichen Anordnungen widersetzt (Art. 76 Abs. 1 lit. b Ziff. 4 AuG). Die mit den letztgenannten Bestimmungen umschriebene Untertauchensgefahr liegt regelmässig vor, wenn der Ausländer bereits einmal untergetaucht ist, behördlichen Anordnungen keine Folge leistet, durch erkennbar unglaubwürdige und widersprüchliche Angaben die Vollzugsbemühungen der Behörden zu erschweren versucht oder sonst klar zu erkennen gibt, dass er keinesfalls in sein Herkunftsland zurückzukehren bereit ist (BGE 130 II 56 E. 3.1 S. 58 f.; BGE 128 II 241 E. 2.1 S. 243; BGE 125 II 369 E. 3b/aa S. 375). Die Gefahr des Untertauchens ist auch regelmässig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(BGE 122 II 49 E. 2a S. 51; vgl. auch Art. 75 Abs. 1 lit. g und h AuG). Die Beurteilung, ob Untertauchensgefahr besteht, beruht auf einer Prognose darüber, ob der Ausländer Gewähr dafür bietet, dass er sich zu gegebener Zeit, d.h. bei Vorliegen der Reisepapiere, für den Vollzug der Wegweisung zur Verfügung halten wird (HUGIYAR, Zwangsmassnahmen im Ausländerrecht, in: Uebersax/Rudin/Hugi Yar/Geiser [Hrsg.], Ausländerrecht, 2. Auflage 2009, S. 417 ff. N 10.94).</w:t>
      </w:r>
    </w:p>
    <w:p>
      <w:r>
        <w:t>Die Vorbereitungs- und die Ausschaffungshaft nach den Art. 75-77 AuG sowie die Durchsetzungshaft nach Art. 78 AuG dürfen im Übrigen zusammen die maximale Haftdauer von sechs Monaten nicht überschreiten (Art. 79 Abs. 1 AuG). Sie kann jedoch mit Zustimmung der Einzelrichterin grundsätzlich um maximal zwölf Monate verlängert werden, wenn die betroffene Person nicht mit der zuständigen Behörde kooperiert (Art. 79 Abs. 2 lit. a AuG) oder sich die Übermittlung der für die Ausreise erforderlichen Unterlagen durch einen Staat, der kein Schengen-Staat ist, verzögert (Art. 79 Abs. 2 lit. b AuG). Schliesslich muss der Vollzug der Wegweisung mit dem nötigen Nachdruck verfolgt werden (Art. 76 Abs. 4 AuG; Beschleunigungsgebot) und die Haft als Ganzes verhältnismässig sein (vgl. BGE 130 II 56 E. 1 S. 58 mit Hinweisen).</w:t>
      </w:r>
    </w:p>
    <w:p>
      <w:r>
        <w:rPr>
          <w:b/>
        </w:rPr>
        <w:t>E. 3</w:t>
      </w:r>
    </w:p>
    <w:p>
      <w:r>
        <w:t>Monate, so dass die Haft auch verhältnismässig ist. Die Hafterstehungsfähigkeit ist nicht in Frage gestellt, hat der Beurteilte doch heute ausgesagt, es gehe ihm gut.</w:t>
      </w:r>
    </w:p>
    <w:p>
      <w:r>
        <w:rPr>
          <w:b/>
        </w:rPr>
        <w:t>E. 4</w:t>
      </w:r>
    </w:p>
    <w:p>
      <w:r>
        <w:t>Das vorliegende Verfahren ist gemäss § 4 des Gesetzes über den Vollzug der Zwangsmassnahmen im Ausländerrecht kostenlos.</w:t>
      </w:r>
    </w:p>
    <w:p>
      <w:r>
        <w:t>Demgemäss erkenntdie Einzelrichterin:</w:t>
      </w:r>
    </w:p>
    <w:p>
      <w:r>
        <w:t>://:        Die über A_____ verfügte Ausschaffungshaft ist für 3 Monate, d.h. bis zum 26. April 2014, rechtmässig und angemessen.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