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AUS.2014.49 vom 10. September 2014</w:t>
      </w:r>
    </w:p>
    <w:p>
      <w:r>
        <w:t>BS Appellationsgericht, 2014-09-10, DE</w:t>
      </w:r>
    </w:p>
    <w:p>
      <w:r>
        <w:rPr>
          <w:b/>
        </w:rPr>
        <w:t xml:space="preserve">Quelle: </w:t>
      </w:r>
      <w:r>
        <w:t>https://mcp.opencaselaw.ch/entscheid/bs_appellationsgericht_AUS.2014.49</w:t>
      </w:r>
    </w:p>
    <w:p>
      <w:r>
        <w:t>FR: BS_APPELLATIONSGERICHT AUS.2014.49 du 10 septembre 2014</w:t>
      </w:r>
    </w:p>
    <w:p>
      <w:r>
        <w:t>IT: BS_APPELLATIONSGERICHT AUS.2014.49 del 10 settembre 2014</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eingehalten.</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Eine entsprechende Wegweisung wurde seitens des BFM zusammen mit dem Asylentscheid am 29. April 2013 eröffnet. Dieser Entscheid ist unangefochten in Rechtskraft erwachsen. Der Vollzug der Ausweisung konnte vorerst aufgrund Untertauchens des A___ und danach aufgrund seiner Haft sowie wegen fehlender Papiere nicht durchgeführt werden.</w:t>
      </w:r>
    </w:p>
    <w:p>
      <w:r>
        <w:rPr>
          <w:b/>
        </w:rPr>
        <w:t>E. 3</w:t>
      </w:r>
    </w:p>
    <w:p>
      <w:r>
        <w:t>3.1Nach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3.2Das Migrationsamt begründet die Ausschaffungshaft des A___ mit seinem unkooperativen Verhalten, seinem Untertauchen in der Vergangenheit und seiner Benutzung diverser Identitäten.</w:t>
      </w:r>
    </w:p>
    <w:p>
      <w:r>
        <w:t>3.3A___ bewegt sich seit dem Jahr 2008 unkontrolliert im Schengenraum. Den Ausgang seines im Jahr 2010 in der Schweiz gestellten Asylgesuchs hat er nicht in der Schweiz abgewartet sondern hat diese mehrfach verlassen (dreimalige Rückweisung aus den Niederlanden). Trotz mehrfacher Aufforderung hat er sich in dieser ganzen Zeit nie ernsthaft um die Beschaffung seiner Identitätspapiere gekümmert. Ausserdem hat er im Laufe dieser Zeit diverse Aliasidentitäten benutzt. Dass er in keiner Art und Weise mit den Behörden kooperiert, hat er entsprechend den Ausführungen des Migrationsamts eindeutig mehrfach bewiesen. Zudem gab er gegenüber dem Migrationsamt an, dass er wieder in die Niederlanden ausreisen möchte. An der Gerichtsverhandlung gab er zu verstehen, dass ihm das vorgesehene Reisedatum nicht genehm sei. Es ist folglich damit zu rechnen, dass er im Falle einer Freilassung für die Behörden wieder unauffindbar wäre. Hinzu kommt, dass A___ wiederholt straffällig wurde und damit auch ein Haftgrund gemäss Art. 76 Abs. 1 lit. a i.V.m. Art. 75 Abs. 1 lit. h AuG vorliegt. Nachdem er offensichtlich immer wieder delinquiert, um seine finanzielle Lage zu verbessern (versuchter Raub, Diebstahl) ist nicht auszuschliessen, dass er dies auf freiem Fuss wieder tun würde.</w:t>
      </w:r>
    </w:p>
    <w:p>
      <w:r>
        <w:rPr>
          <w:b/>
        </w:rPr>
        <w:t>E. 4</w:t>
      </w:r>
    </w:p>
    <w:p>
      <w:r>
        <w:t>Eine Ausschaffung nach Algerien ist zumutbar und rechtlich sowie tatsächlich möglich. Konkret ist bereits ein Flug in die Heimat des A_____ für den 23. Oktober 2014 gebucht. Das Beschleunigungsgebot ist damit gewahrt. Nachdem A___ bereits wiederholt ausgesagt hat, dass er nicht nach Algerien zurück will, ist zum heutigen Zeitpunkt äussert unsicher, ob er am 23. Oktober 2014 die Maschine nach Algerien besteigen wird. Da es sich dabei um eine unbegleitete Rückführung handelt, käme in einem zweiten Schritt eine begleitete Rückführung in Betracht. Aufgrund dieser Unsicherheiten  resultierend aus dem Verhalten und den Aussagen A___  rechtfertigt sich die Anordnung der Ausschaffungshaft für die Dauer von drei Monaten (BGE 133 II 97 E. 3.3 S. 101 e contrario). Ein milderes Mittel zur Sicherstellung des Wegweisungsvollzugs ist nicht ersichtlich und zielführend.</w:t>
      </w:r>
    </w:p>
    <w:p>
      <w:r>
        <w:t>Demgemäss erkenntdie Einzelrichterin:</w:t>
      </w:r>
    </w:p>
    <w:p>
      <w:r>
        <w:t>://:        Die über A___ angeordnete Ausschaffungshaft von drei Monaten vom 10. September 2014 bis zum 9. Dezember 2014 ist rechtmässig und angemessen.</w:t>
      </w:r>
    </w:p>
    <w:p>
      <w:r>
        <w:t>VERWALTUNGSGERICHT BASEL-STADT</w:t>
      </w:r>
    </w:p>
    <w:p>
      <w:r>
        <w:t>Die Einzelrichterin</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10. September 2014 mündlich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