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BPatGer O2020_006 vom 16. September 2020</w:t>
      </w:r>
    </w:p>
    <w:p>
      <w:r>
        <w:t>Bundespatentgericht, 2020-09-16, DE</w:t>
      </w:r>
    </w:p>
    <w:p>
      <w:r>
        <w:rPr>
          <w:b/>
        </w:rPr>
        <w:t xml:space="preserve">Quelle: </w:t>
      </w:r>
      <w:r>
        <w:t>https://mcp.opencaselaw.ch/entscheid/bpatger_O2020_006</w:t>
      </w:r>
    </w:p>
    <w:p>
      <w:r>
        <w:t>FR: TFB O2020_006 du 16 septembre 2020</w:t>
      </w:r>
    </w:p>
    <w:p>
      <w:r>
        <w:t>IT: TFB O2020_006 del 16 settembre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Am 29. April 2020 ging die vorliegende Nichtigkeitsklage betreffend den Schweizer Teil des europäischen Patents EP 2 121 272 B1 (nachfolgend Streitpatent) ein.</w:t>
      </w:r>
    </w:p>
    <w:p>
      <w:r>
        <w:rPr>
          <w:b/>
        </w:rPr>
        <w:t>E. 2</w:t>
      </w:r>
    </w:p>
    <w:p>
      <w:r>
        <w:t>Am 28. August 2020 erfolgte die Klageantwort, mit der die Beklagte gleichzeitig Widerklage auf Patentverletzung erhob.</w:t>
      </w:r>
    </w:p>
    <w:p>
      <w:r>
        <w:rPr>
          <w:b/>
        </w:rPr>
        <w:t>E. 3</w:t>
      </w:r>
    </w:p>
    <w:p>
      <w:r>
        <w:t>Zur Zulässigkeit der Widerklage in Bezug auf anderweitige Rechtshän- gigkeit machte die Beklagte geltend, die Widerklage stütze sich auf An- spruch 1 des neuen Hauptantrags, freiwillig zusätzlich eingeschränkt durch zwei weitere Merkmale sowie eventualiter auf eine Kombination von Anspruch 1 und 2 des neuen Hauptantrags. Die Widerklage stütze sich damit auf eine andere Anspruchsfassung des Streitpatents als die parallele Verletzungsklage im Verfahren O2017_024. Damit liege ein an- derer Streitgegenstand vor.</w:t>
      </w:r>
    </w:p>
    <w:p>
      <w:r>
        <w:rPr>
          <w:b/>
        </w:rPr>
        <w:t>E. 4</w:t>
      </w:r>
    </w:p>
    <w:p>
      <w:r>
        <w:t>Das Gericht tritt auf eine Klage ein, sofern die Sache nicht anderweitig rechtshängig ist (Art. 59 Abs. 1 lit. d). Zwischen denselben Parteien ist eine Patentverletzungsklage betreffend dasselbe Streitpatent rechtshängig (Verfahren O2017_024). Die Beklagte und Widerklägerin macht geltend, der Streitgegenstand im Verfahren O2017_024 sei nicht identisch mit dem vorliegenden (vgl. Art. 64 Abs. 1 lit. a ZPO). Identität des Anspruchs liegt vor, wenn dieser aus demselben Rechts- grund und gestützt auf denselben Lebenssachverhalt erneut zur Beurtei- lung unterbreitet wird.1 U.a. ist der neue Anspruch trotz abweichender Umschreibung vom beurteilten bzw. anderweitig rechtshängigen nicht verschieden, wenn er in diesem bereits enthalten war bzw. ist.2</w:t>
      </w:r>
    </w:p>
    <w:p>
      <w:r>
        <w:t>1 Sutter-Somm/Hedinger, in: Sutter-Somm/Hasenböhler/Leuenberger, ZPO Komm., Art. 64 N 11. 2 BGE 123 III 16 E. 2a.; BGE 125 III 241 E. 1.</w:t>
      </w:r>
    </w:p>
    <w:p>
      <w:r>
        <w:t>O2020_006 Seite 3</w:t>
      </w:r>
    </w:p>
    <w:p>
      <w:r>
        <w:rPr>
          <w:b/>
        </w:rPr>
        <w:t>E. 5</w:t>
      </w:r>
    </w:p>
    <w:p>
      <w:r>
        <w:t>Sowohl im Verfahren O2017_024 als auch im vorliegenden Verfahren stützt sich die Klägerin bzw. die Widerklägerin auf dasselbe Streitpatent EP 2 121 272 B1 und auf denselben angeblichen Verletzungsgegen- stand. Im Verfahren O2017_024 hatte die Klägerin bereits mit der Klage darauf hingewiesen, dass sie sich zusätzlich zu Anspruch 1 auch auf die An- sprüche 2, 4 und gegebenenfalls zusätzlich Anspruch 7 des Streitpatents stütze. In ihrer auf die Einrede der Nichtigkeit beschränkten Stellungnahme vom</w:t>
      </w:r>
    </w:p>
    <w:p>
      <w:r>
        <w:rPr>
          <w:b/>
        </w:rPr>
        <w:t>E. 7</w:t>
      </w:r>
    </w:p>
    <w:p>
      <w:r>
        <w:t>Ausgangsgemäss wird die Beklagte kostenpflichtig (Art. 106 Abs. 1 ZPO). Die Gerichtsgebühr ist ausgehend von einem Streitwert von CHF 800'000 auf CHF 8’000 festzusetzen (Art. 1 KR-PatGer). Der Klägerin ist im Zu- sammenhang mit diesem Beschluss kein Aufwand entstanden, weshalb keine Parteientschädigung zuzusprechen ist. Das Bundespatentgericht beschliesst: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