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O2018_018 vom 4. Januar 2019</w:t>
      </w:r>
    </w:p>
    <w:p>
      <w:r>
        <w:t>Bundespatentgericht, 2019-01-04, DE</w:t>
      </w:r>
    </w:p>
    <w:p>
      <w:r>
        <w:rPr>
          <w:b/>
        </w:rPr>
        <w:t xml:space="preserve">Quelle: </w:t>
      </w:r>
      <w:r>
        <w:t>https://mcp.opencaselaw.ch/entscheid/bpatger_O2018_018</w:t>
      </w:r>
    </w:p>
    <w:p>
      <w:r>
        <w:t>FR: TFB O2018_018 du 4 janvier 2019</w:t>
      </w:r>
    </w:p>
    <w:p>
      <w:r>
        <w:t>IT: TFB O2018_018 del 4 gennaio 2019</w:t>
      </w:r>
    </w:p>
    <w:p>
      <w:pPr>
        <w:pStyle w:val="Heading2"/>
      </w:pPr>
      <w:r>
        <w:t>Regeste</w:t>
      </w:r>
    </w:p>
    <w:p>
      <w:r>
        <w:t>Erfinderische Tätigkeit, Feststellungsklage, Neuheit</w:t>
      </w:r>
    </w:p>
    <w:p>
      <w:pPr>
        <w:pStyle w:val="Heading2"/>
      </w:pPr>
      <w:r>
        <w:t>Erwägungen</w:t>
      </w:r>
    </w:p>
    <w:p>
      <w:r>
        <w:rPr>
          <w:b/>
        </w:rPr>
        <w:t>E. 1</w:t>
      </w:r>
    </w:p>
    <w:p>
      <w:r>
        <w:t>Auszug aus der Verfügung des Bundespatentgerichts i.S. A gegen B vom</w:t>
      </w:r>
    </w:p>
    <w:p>
      <w:r>
        <w:rPr>
          <w:b/>
        </w:rPr>
        <w:t>E. 4</w:t>
      </w:r>
    </w:p>
    <w:p>
      <w:r>
        <w:t>Nachdem das Klagepatent gelöscht wurde, ist das Verfahren als gegenstandslos geworden abzuschreiben (Art. 241 Abs. 3 ZPO).</w:t>
      </w:r>
    </w:p>
    <w:p>
      <w:r>
        <w:rPr>
          <w:b/>
        </w:rPr>
        <w:t>E. 5</w:t>
      </w:r>
    </w:p>
    <w:p>
      <w:r>
        <w:t>[Zur Höhe der Gerichtsgebühr.]</w:t>
      </w:r>
    </w:p>
    <w:p>
      <w:r>
        <w:rPr>
          <w:b/>
        </w:rPr>
        <w:t>E. 6</w:t>
      </w:r>
    </w:p>
    <w:p>
      <w:r>
        <w:t>Ist das Verfahren zufolge Gegenstandslosigkeit abzuschreiben, sind die Prozesskosten nach Ermessen zu verteilen (Art. 107 Abs. 1 lit. e ZPO). Dabei ist zu berücksichtigen, wel- che Partei Anlass zur Klage gegeben hat, welches der mutmassliche Prozessausgang ge- wesen wäre, bei welcher Partei Gründe eingetreten sind, die zur Gegenstandslosigkeit des Verfahrens geführt haben und welche Partei unnötigerweise Kosten verursacht hat.1 Die Löschung des Klagepatents entspricht einer vollständigen Klageanerkennung. Nach Art. 107 Abs. 1 lit. e ZPO und in Analogie zu Art. 106 Abs. 1 ZPO sind die Kosten daher grundsätzlich der Beklagten aufzuerlegen. Eine Obliegenheit zur vorgängigen Verwarnung kennt das schweizerische Recht (anders als Deutschland, vgl. § 93 DE-ZPO) nicht.2 Nach der Praxis der Zuger Gerichte rechtfertigt sich die Verlegung der Kosten auf den Beklagten, der das Klagepatent umgehend gelöscht hat, bei Klageeinreichung ohne vorgängige Verwarnung, wenn der Beklagte „durch sein vorpro- zessuales Verhalten den Eindruck erweckt hatte, dass er das Patent nicht auf blosse Ver- warnung hin hätte löschen lassen“.3 Diesen Schluss lässt bereits der Bestand eines formell gültigen Patents zu. Denn das Pa- tent wird gelöscht, wenn die fälligen Jahresgebühren nicht rechtzeitig bezahlt werden (Art. 15 Abs. 1 lit. b PatG). Dass der Patentinhaber zwar die Gebühren für die Aufrechterhal- tung des Patents rechtzeitig bezahlt, aber auf erste Aufforderung hin das Patent löschen würde, widerspricht der Lebenserfahrung. Im vorliegenden Fall hat die Patentinhaberin auf die (informelle) Zustellung der Klage denn auch nicht sofort mit der Löschung des Klagepa- tents reagiert, sondern der Klägerin ein Lizenzangebot gemacht. Das legt nahe, dass auch bei vorprozessualer Aufforderung das Klagepatent nicht sofort gelöscht worden wäre. Die Prozesskosten sind daher der Beklagten aufzuerlegen. [9]</w:t>
      </w:r>
    </w:p>
    <w:p>
      <w:r>
        <w:t>1 BPatGer, Verfügung O2015_010 vom 5. Januar 2016, E. 3.1. 2 HGer SG, Urteil HG.2005.21 vom 21. April 2008, E. II 4b – „induktive Heizvorrichtung“. 3 KGer ZG, Urteil A3 2010 58 vom 28. Januar 2011, E. 5.2 – „Geburtsgel“, in: sic! 2012, 46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