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860 22 267 vom 24. Oktober 2022</w:t>
      </w:r>
    </w:p>
    <w:p>
      <w:r>
        <w:t>BL Gerichte, 2022-10-24, DE</w:t>
      </w:r>
    </w:p>
    <w:p>
      <w:r>
        <w:rPr>
          <w:b/>
        </w:rPr>
        <w:t xml:space="preserve">Quelle: </w:t>
      </w:r>
      <w:r>
        <w:t>https://mcp.opencaselaw.ch/entscheid/bl_gerichte_860_22_267</w:t>
      </w:r>
    </w:p>
    <w:p>
      <w:r>
        <w:t>FR: BL_GERICHTE 860 22 267 du 24 octobre 2022</w:t>
      </w:r>
    </w:p>
    <w:p>
      <w:r>
        <w:t>IT: BL_GERICHTE 860 22 267 del 24 ottobre 2022</w:t>
      </w:r>
    </w:p>
    <w:p>
      <w:pPr>
        <w:pStyle w:val="Heading2"/>
      </w:pPr>
      <w:r>
        <w:t>Regeste</w:t>
      </w:r>
    </w:p>
    <w:p>
      <w:r>
        <w:t>Haftüberprüfung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Haftentlassungsgesuch wird als gegenstandslos abgeschrieben.</w:t>
      </w:r>
    </w:p>
    <w:p>
      <w:r>
        <w:rPr>
          <w:b/>
        </w:rPr>
        <w:t>E. 2</w:t>
      </w:r>
    </w:p>
    <w:p>
      <w:r>
        <w:t>Es wird festgestellt, dass das Trennungsgebot nicht verletzt ist.</w:t>
      </w:r>
    </w:p>
    <w:p>
      <w:r>
        <w:rPr>
          <w:b/>
        </w:rPr>
        <w:t>E. 3</w:t>
      </w:r>
    </w:p>
    <w:p>
      <w:r>
        <w:t>Es wird festgestellt, dass die Haftbedingungen im Gefängnis Bässlergut nicht rechtswidrig sind.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Gesuch des Antragstellers um Gewährung der unentgeltlichen Verbeiständung mit Rechtsanwältin Lea Hungerbühler wird bewilligt.</w:t>
      </w:r>
    </w:p>
    <w:p>
      <w:r>
        <w:rPr>
          <w:b/>
        </w:rPr>
        <w:t>E. 6</w:t>
      </w:r>
    </w:p>
    <w:p>
      <w:r>
        <w:t>Die Parteikosten werden wettgeschlagen. Zufolge Gewährung der unentgeltlichen Verbeiständung wird der Rechtsvertreterin des Antragsstellers ein Honorar von Fr. 1'546.30 (inkl. Auslagen) aus der Gerichtskasse ausgerichtet. Einzelrichter Martin Michel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