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83/2005 vom 24. Juni 2005</w:t>
      </w:r>
    </w:p>
    <w:p>
      <w:r>
        <w:t>BL Gerichte, 2005-06-24, DE</w:t>
      </w:r>
    </w:p>
    <w:p>
      <w:r>
        <w:rPr>
          <w:b/>
        </w:rPr>
        <w:t xml:space="preserve">Quelle: </w:t>
      </w:r>
      <w:r>
        <w:t>https://mcp.opencaselaw.ch/entscheid/bl_gerichte_83_2005_d20050624</w:t>
      </w:r>
    </w:p>
    <w:p>
      <w:r>
        <w:t>FR: BL_GERICHTE 83/2005 du 24 juin 2005</w:t>
      </w:r>
    </w:p>
    <w:p>
      <w:r>
        <w:t>IT: BL_GERICHTE 83/2005 del 24 giugno 2005</w:t>
      </w:r>
    </w:p>
    <w:p>
      <w:pPr>
        <w:pStyle w:val="Heading2"/>
      </w:pPr>
      <w:r>
        <w:t>Regeste</w:t>
      </w:r>
    </w:p>
    <w:p>
      <w:r>
        <w:t>Eine Versicherungsleistung aus einer nicht rückkaufsfähigen privaten Kapitalversicherung unterliegt nach § 36 Abs. 1 StG einer separaten Jahressteuer (Erw. 2). Steuerbare haftpflichtrechtliche Kapitalzahlungen im Todesfall sind im Todeszeitpunkt regelmässig noch unbestimmt und unsicher, weshalb das Einkommen erst bei der endgültigen Erledigung der Haftpflichtfrage zufliesst. Vorliegend ist die Versicherungsleistung somit im Auszahlungsjahr steuerbar (Erw. 3).</w:t>
      </w:r>
    </w:p>
    <w:p>
      <w:pPr>
        <w:pStyle w:val="Heading2"/>
      </w:pPr>
      <w:r>
        <w:t>Erwägungen</w:t>
      </w:r>
    </w:p>
    <w:p>
      <w:r>
        <w:rPr>
          <w:b/>
        </w:rPr>
        <w:t>E. 1</w:t>
      </w:r>
    </w:p>
    <w:p>
      <w:r>
        <w:t>Mit Veranlagung für Kapitalabfindung gemäss § 36 Steuer- und Finanzgesetz, Rechnung Nr. S 01/05 vom 01.01.01 bis 31.12.01, vom 21. September 2004 besteuerte die Steuerverwaltung bei der Rekurrentin steuerbare Kapitalabfindungen von Fr. 1'591'400.-- zum Steuersatz von 7,26964 % und erhob darauf eine Steuer von Fr. 115'689.05.</w:t>
      </w:r>
    </w:p>
    <w:p>
      <w:r>
        <w:rPr>
          <w:b/>
        </w:rPr>
        <w:t>E. 2</w:t>
      </w:r>
    </w:p>
    <w:p>
      <w:r>
        <w:t>Die dagegen erhobene Einsprache vom 19. Oktober 2004 wies die Steuerverwaltung mit Einsprache-Entscheid vom 9. Dezember 2004 ab.</w:t>
      </w:r>
    </w:p>
    <w:p>
      <w:r>
        <w:rPr>
          <w:b/>
        </w:rPr>
        <w:t>E. 3</w:t>
      </w:r>
    </w:p>
    <w:p>
      <w:r>
        <w:t>Mit Rekurs vom 10. Januar 2005 liess die Steuerpflichtige sinngemäss begehren, es sei der Einspracheentscheid vom 9. Dezember 2004 betreffend die Sonderveranlagung (Kapitalleistung 2001) für die Staats- und Gemeindesteuer in Bezug auf die Steuerperiode 2001 aufzuheben; die Versicherungszahlung vom xx.xx. 2001 sei der Erbschaftssteuer des Kantons Basel-Landschaft zu unterwerfen; sofern diesen Anträgen nicht stattgegeben werde, sei eventualiter festzustellen, dass die Rekurrentin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des Rekurses. Aus den Erwägungen: 2. a) Die Rekurrentin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sämtliche wiederkehrenden und einmaligen Einkünfte aller Art der natürlichen sowie der ihnen gleichgestellten juristischen Personen der Einkommenssteuer unterliegen (§ 23 Abs. 1 StG). Steuerbar sind nach § 36 Abs. 1 StG auch Kapitalleistungen bei Tod und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 28 lit. b StG;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Erträge aus rückkaufsfähigen Kapitalversicherungen mit Einmalprämie, die nach dem 31.12.1998 abgeschlossen wurden, im Erlebensfall oder beim Rückkauf, ausser wenn diese Versicherungen der Vorsorge dienen (vgl. § 24 lit. e quater StG; Gladys Laffely Maillard, Les assurances sur la vie, notamment les assurances de capitaux a prime unique, et leur traitement fiscal, Archiv für Schweizerisches Abgaberecht [ASA] 66 S. 593-631, 618 ff.; zum Ganzen: BGE 130 I 205 E. 7.6.2 S. 216 f.) Der Einkommenssteuer nicht unterworfen sind gemäss § 28 lit. a StG Vermögenszuwachs infolge Erbschaft, Vermächtnis, Schenkung oder güterrechtlicher Auseinandersetzung. In § 28 lit. a StG ist nicht von Erwerb kraft Erbrechts, sondern von "Vermögenszuwachs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 23 Abs. 1 bzw. § 36 Abs. 1 StG steuerbar ist (vgl. BGE 88 I 116 E. 3b S. 120 f.). c) Das StG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unterliegt diese Kapitalleistung nach § 36 Abs. 1 StG einer separaten Jahressteuer. 3. a) Die Rekurrentin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gemäss § 36 Abs. 1 StG getrennt von den übrigen Einkünften zum Rentensatz zu versteuern. Somit ergibt sich, dass sich der Rekurs als unbegründet erweist und abzuweisen ist. Entscheid Nr. 83/2005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