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23 86 vom 28. Oktober 2013</w:t>
      </w:r>
    </w:p>
    <w:p>
      <w:r>
        <w:t>BL Gerichte, 2013-10-28, DE</w:t>
      </w:r>
    </w:p>
    <w:p>
      <w:r>
        <w:rPr>
          <w:b/>
        </w:rPr>
        <w:t xml:space="preserve">Quelle: </w:t>
      </w:r>
      <w:r>
        <w:t>https://mcp.opencaselaw.ch/entscheid/bl_gerichte_810_23_86</w:t>
      </w:r>
    </w:p>
    <w:p>
      <w:r>
        <w:t>FR: BL_GERICHTE 810 23 86 du 28 octobre 2013</w:t>
      </w:r>
    </w:p>
    <w:p>
      <w:r>
        <w:t>IT: BL_GERICHTE 810 23 86 del 28 ottobre 2013</w:t>
      </w:r>
    </w:p>
    <w:p>
      <w:pPr>
        <w:pStyle w:val="Heading2"/>
      </w:pPr>
      <w:r>
        <w:t>Regeste</w:t>
      </w:r>
    </w:p>
    <w:p>
      <w:r>
        <w:t>Wechsel der Mandatsperson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1'500.-- werden der Beschwerdeführerin auferlegt und gehen zufolge Bewilligung der unentgeltlichen Prozessführung zulasten der Gerichtskasse.</w:t>
      </w:r>
    </w:p>
    <w:p>
      <w:r>
        <w:rPr>
          <w:b/>
        </w:rPr>
        <w:t>E. 3</w:t>
      </w:r>
    </w:p>
    <w:p>
      <w:r>
        <w:t>Die Parteikosten werden wettgeschlagen. Präsidentin Gerichtsschreiberin i.V.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