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23 53 vom 6. März 2023</w:t>
      </w:r>
    </w:p>
    <w:p>
      <w:r>
        <w:t>BL Gerichte, 2023-03-06, DE</w:t>
      </w:r>
    </w:p>
    <w:p>
      <w:r>
        <w:rPr>
          <w:b/>
        </w:rPr>
        <w:t xml:space="preserve">Quelle: </w:t>
      </w:r>
      <w:r>
        <w:t>https://mcp.opencaselaw.ch/entscheid/bl_gerichte_810_23_53</w:t>
      </w:r>
    </w:p>
    <w:p>
      <w:r>
        <w:t>FR: BL_GERICHTE 810 23 53 du 6 mars 2023</w:t>
      </w:r>
    </w:p>
    <w:p>
      <w:r>
        <w:t>IT: BL_GERICHTE 810 23 53 del 6 marzo 2023</w:t>
      </w:r>
    </w:p>
    <w:p>
      <w:pPr>
        <w:pStyle w:val="Heading2"/>
      </w:pPr>
      <w:r>
        <w:t>Regeste</w:t>
      </w:r>
    </w:p>
    <w:p>
      <w:r>
        <w:t>Entzug Aufenthaltsbestimmungsrecht/Platzierung in Beobachtungsstation E. /Entzug aufschiebende Wirkung einer Beschwerde (Entscheid der Kindes- und Erwachsenenschutzbehörde B. vom 6. März 2023)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800.-- werden dem Beschwerdeführer auferlegt und gehen aufgrund der Unterstützungspflicht der beigeladenen Kindseltern je hälftig und somit im Umfang von je Fr. 400.-- zu deren Lasten.</w:t>
      </w:r>
    </w:p>
    <w:p>
      <w:r>
        <w:rPr>
          <w:b/>
        </w:rPr>
        <w:t>E. 3</w:t>
      </w:r>
    </w:p>
    <w:p>
      <w:r>
        <w:t>Die Parteikosten werden wettgeschlagen. Präsidentin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