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23 3 vom 20. September 2023</w:t>
      </w:r>
    </w:p>
    <w:p>
      <w:r>
        <w:t>BL Gerichte, 2023-09-20, DE</w:t>
      </w:r>
    </w:p>
    <w:p>
      <w:r>
        <w:rPr>
          <w:b/>
        </w:rPr>
        <w:t xml:space="preserve">Quelle: </w:t>
      </w:r>
      <w:r>
        <w:t>https://mcp.opencaselaw.ch/entscheid/bl_gerichte_810_23_3</w:t>
      </w:r>
    </w:p>
    <w:p>
      <w:r>
        <w:t>FR: BL_GERICHTE 810 23 3 du 20 septembre 2023</w:t>
      </w:r>
    </w:p>
    <w:p>
      <w:r>
        <w:t>IT: BL_GERICHTE 810 23 3 del 20 settembre 2023</w:t>
      </w:r>
    </w:p>
    <w:p>
      <w:pPr>
        <w:pStyle w:val="Heading2"/>
      </w:pPr>
      <w:r>
        <w:t>Regeste</w:t>
      </w:r>
    </w:p>
    <w:p>
      <w:r>
        <w:t>Härtefallgesuch/Wiedererwägung (RRB Nr. 1926 vom 20. Dezember 2022)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der verwaltungsgerichtlichen Beschwerde können nach § 45 Abs. 1 lit. a und b VPO Rechtsverletzungen einschliesslich Überschreitung, Unterschreitung oder Missbrauch des Ermessens sowie die unrichtige oder unvollständige Feststellung des Sachverhalts gerügt werden. Die Beurteilung der Angemessenheit ist dem Kantonsgericht dagegen - abgesehen von hier nicht vorliegenden Einzelfällen - untersagt (§ 45 Abs. 1 lit. c VPO e contrario).</w:t>
      </w:r>
    </w:p>
    <w:p>
      <w:r>
        <w:rPr>
          <w:b/>
        </w:rPr>
        <w:t>E. 3</w:t>
      </w:r>
    </w:p>
    <w:p>
      <w:r>
        <w:t>Da es sich um einen klaren Fall handelt, wird vorliegend im Zirkulationsverfahren entschieden (§ 1 Abs. 4 VPO).</w:t>
      </w:r>
    </w:p>
    <w:p>
      <w:r>
        <w:rPr>
          <w:b/>
        </w:rPr>
        <w:t>E. 4</w:t>
      </w:r>
    </w:p>
    <w:p>
      <w:r>
        <w:t>Die Parteikosten werden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