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810 23 274 vom 20. Dezember 2023</w:t>
      </w:r>
    </w:p>
    <w:p>
      <w:r>
        <w:t>BL Gerichte, 2023-12-20, DE</w:t>
      </w:r>
    </w:p>
    <w:p>
      <w:r>
        <w:rPr>
          <w:b/>
        </w:rPr>
        <w:t xml:space="preserve">Quelle: </w:t>
      </w:r>
      <w:r>
        <w:t>https://mcp.opencaselaw.ch/entscheid/bl_gerichte_810_23_274</w:t>
      </w:r>
    </w:p>
    <w:p>
      <w:r>
        <w:t>FR: BL_GERICHTE 810 23 274 du 20 décembre 2023</w:t>
      </w:r>
    </w:p>
    <w:p>
      <w:r>
        <w:t>IT: BL_GERICHTE 810 23 274 del 20 dicembre 2023</w:t>
      </w:r>
    </w:p>
    <w:p>
      <w:pPr>
        <w:pStyle w:val="Heading2"/>
      </w:pPr>
      <w:r>
        <w:t>Regeste</w:t>
      </w:r>
    </w:p>
    <w:p>
      <w:r>
        <w:t>Errichtung einer Beistandschaft; Ernennung einer Mandatsperson; Einschränkung der elterlichen Sorge des Kindsvaters im schulischen Bereich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Die Verfahrenskosten in der Höhe von Fr. 1'200.-- werden der Kindes- und Erwachsenenschutzbehörde Kreis Liestal auferlegt.</w:t>
      </w:r>
    </w:p>
    <w:p>
      <w:r>
        <w:rPr>
          <w:b/>
        </w:rPr>
        <w:t>E. 3</w:t>
      </w:r>
    </w:p>
    <w:p>
      <w:r>
        <w:t>Die Kindes- und Erwachsenenschutzbehörde Kreis Liestal hat dem Beschwerdeführer eine Parteientschädigung in der Höhe von Fr. 2'041.60 (inkl. Auslagen und 7.7% MWST) auszurichten. Kantonsrichter Gerichtsschreiberin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