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23 220 vom 15. November 2023</w:t>
      </w:r>
    </w:p>
    <w:p>
      <w:r>
        <w:t>BL Gerichte, 2023-11-15, DE</w:t>
      </w:r>
    </w:p>
    <w:p>
      <w:r>
        <w:rPr>
          <w:b/>
        </w:rPr>
        <w:t xml:space="preserve">Quelle: </w:t>
      </w:r>
      <w:r>
        <w:t>https://mcp.opencaselaw.ch/entscheid/bl_gerichte_810_23_220</w:t>
      </w:r>
    </w:p>
    <w:p>
      <w:r>
        <w:t>FR: BL_GERICHTE 810 23 220 du 15 novembre 2023</w:t>
      </w:r>
    </w:p>
    <w:p>
      <w:r>
        <w:t>IT: BL_GERICHTE 810 23 220 del 15 novembre 2023</w:t>
      </w:r>
    </w:p>
    <w:p>
      <w:pPr>
        <w:pStyle w:val="Heading2"/>
      </w:pPr>
      <w:r>
        <w:t>Regeste</w:t>
      </w:r>
    </w:p>
    <w:p>
      <w:r>
        <w:t>Befreiung von der Krankenversicherungspflicht in der Schweiz / Zuständigkeit der Abteilung Verfassungs- und Verwaltungsrecht / keine Gleichwertigkeit bezüglich Leistungen der Langzeitpflege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1'500.-- wird der Beschwerdeführerin zurückerstattet.</w:t>
      </w:r>
    </w:p>
    <w:p>
      <w:r>
        <w:rPr>
          <w:b/>
        </w:rPr>
        <w:t>E. 3</w:t>
      </w:r>
    </w:p>
    <w:p>
      <w:r>
        <w:t>Die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